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57" w:rsidRPr="006879E4" w:rsidRDefault="00B95141" w:rsidP="00334FAA">
      <w:pPr>
        <w:jc w:val="center"/>
        <w:rPr>
          <w:b/>
          <w:bCs/>
          <w:sz w:val="25"/>
          <w:szCs w:val="25"/>
        </w:rPr>
      </w:pPr>
      <w:r w:rsidRPr="006879E4">
        <w:rPr>
          <w:sz w:val="25"/>
          <w:szCs w:val="25"/>
          <w:lang w:val="en-CA"/>
        </w:rPr>
        <w:fldChar w:fldCharType="begin"/>
      </w:r>
      <w:r w:rsidRPr="006879E4">
        <w:rPr>
          <w:sz w:val="25"/>
          <w:szCs w:val="25"/>
          <w:lang w:val="en-CA"/>
        </w:rPr>
        <w:instrText xml:space="preserve"> SEQ CHAPTER \h \r 1</w:instrText>
      </w:r>
      <w:r w:rsidRPr="006879E4">
        <w:rPr>
          <w:sz w:val="25"/>
          <w:szCs w:val="25"/>
          <w:lang w:val="en-CA"/>
        </w:rPr>
        <w:fldChar w:fldCharType="end"/>
      </w:r>
      <w:r w:rsidRPr="006879E4">
        <w:rPr>
          <w:b/>
          <w:bCs/>
          <w:sz w:val="25"/>
          <w:szCs w:val="25"/>
        </w:rPr>
        <w:t xml:space="preserve">The Implementation of </w:t>
      </w:r>
      <w:proofErr w:type="gramStart"/>
      <w:r w:rsidRPr="006879E4">
        <w:rPr>
          <w:b/>
          <w:bCs/>
          <w:sz w:val="25"/>
          <w:szCs w:val="25"/>
        </w:rPr>
        <w:t>The</w:t>
      </w:r>
      <w:proofErr w:type="gramEnd"/>
      <w:r w:rsidRPr="006879E4">
        <w:rPr>
          <w:b/>
          <w:bCs/>
          <w:sz w:val="25"/>
          <w:szCs w:val="25"/>
        </w:rPr>
        <w:t xml:space="preserve"> College of William &amp; Mary’s</w:t>
      </w:r>
    </w:p>
    <w:p w:rsidR="00C15F97" w:rsidRPr="006879E4" w:rsidRDefault="00B95141" w:rsidP="00334FAA">
      <w:pPr>
        <w:jc w:val="center"/>
        <w:rPr>
          <w:b/>
          <w:bCs/>
          <w:sz w:val="25"/>
          <w:szCs w:val="25"/>
        </w:rPr>
      </w:pPr>
      <w:r w:rsidRPr="006879E4">
        <w:rPr>
          <w:b/>
          <w:bCs/>
          <w:sz w:val="25"/>
          <w:szCs w:val="25"/>
        </w:rPr>
        <w:t>New Liberal Arts General Education Curriculum</w:t>
      </w:r>
    </w:p>
    <w:p w:rsidR="00C15F97" w:rsidRPr="006879E4" w:rsidRDefault="00C80934" w:rsidP="00334FAA">
      <w:pPr>
        <w:jc w:val="center"/>
        <w:rPr>
          <w:b/>
          <w:bCs/>
          <w:sz w:val="25"/>
          <w:szCs w:val="25"/>
        </w:rPr>
      </w:pPr>
      <w:r>
        <w:rPr>
          <w:b/>
          <w:bCs/>
          <w:sz w:val="25"/>
          <w:szCs w:val="25"/>
        </w:rPr>
        <w:t xml:space="preserve">March </w:t>
      </w:r>
      <w:r w:rsidR="00524738">
        <w:rPr>
          <w:b/>
          <w:bCs/>
          <w:sz w:val="25"/>
          <w:szCs w:val="25"/>
        </w:rPr>
        <w:t>2</w:t>
      </w:r>
      <w:r w:rsidR="00E80E35">
        <w:rPr>
          <w:b/>
          <w:bCs/>
          <w:sz w:val="25"/>
          <w:szCs w:val="25"/>
        </w:rPr>
        <w:t>7</w:t>
      </w:r>
      <w:r w:rsidR="00B95141" w:rsidRPr="006879E4">
        <w:rPr>
          <w:b/>
          <w:bCs/>
          <w:sz w:val="25"/>
          <w:szCs w:val="25"/>
        </w:rPr>
        <w:t>, 2014</w:t>
      </w:r>
    </w:p>
    <w:p w:rsidR="00C15F97" w:rsidRDefault="00C15F97">
      <w:pPr>
        <w:rPr>
          <w:sz w:val="24"/>
          <w:szCs w:val="24"/>
        </w:rPr>
      </w:pPr>
    </w:p>
    <w:p w:rsidR="00823FEF" w:rsidRPr="003A7279" w:rsidRDefault="00823FEF">
      <w:pPr>
        <w:rPr>
          <w:bCs/>
          <w:sz w:val="24"/>
          <w:szCs w:val="24"/>
        </w:rPr>
      </w:pPr>
      <w:r w:rsidRPr="003A7279">
        <w:rPr>
          <w:bCs/>
          <w:sz w:val="24"/>
          <w:szCs w:val="24"/>
        </w:rPr>
        <w:t>The College of William &amp; Mary requests a grant of $</w:t>
      </w:r>
      <w:r w:rsidR="00524738">
        <w:rPr>
          <w:bCs/>
          <w:sz w:val="24"/>
          <w:szCs w:val="24"/>
        </w:rPr>
        <w:t>900,000</w:t>
      </w:r>
      <w:r w:rsidRPr="003A7279">
        <w:rPr>
          <w:bCs/>
          <w:sz w:val="24"/>
          <w:szCs w:val="24"/>
        </w:rPr>
        <w:t xml:space="preserve"> for use over </w:t>
      </w:r>
      <w:r w:rsidR="0099355C">
        <w:rPr>
          <w:bCs/>
          <w:sz w:val="24"/>
          <w:szCs w:val="24"/>
        </w:rPr>
        <w:t xml:space="preserve">four academic </w:t>
      </w:r>
      <w:r w:rsidRPr="003A7279">
        <w:rPr>
          <w:bCs/>
          <w:sz w:val="24"/>
          <w:szCs w:val="24"/>
        </w:rPr>
        <w:t>years (July 1, 2014–June 30, 2018) to provide funding for positions and faculty development to implement William &amp; Mary’s new liberal arts general education curriculum.</w:t>
      </w:r>
    </w:p>
    <w:p w:rsidR="00823FEF" w:rsidRDefault="00823FEF">
      <w:pPr>
        <w:rPr>
          <w:b/>
          <w:bCs/>
          <w:sz w:val="24"/>
          <w:szCs w:val="24"/>
        </w:rPr>
      </w:pPr>
    </w:p>
    <w:p w:rsidR="00C15F97" w:rsidRDefault="00B95141">
      <w:pPr>
        <w:rPr>
          <w:sz w:val="24"/>
          <w:szCs w:val="24"/>
        </w:rPr>
      </w:pPr>
      <w:r>
        <w:rPr>
          <w:b/>
          <w:bCs/>
          <w:sz w:val="24"/>
          <w:szCs w:val="24"/>
        </w:rPr>
        <w:t>Overview</w:t>
      </w:r>
    </w:p>
    <w:p w:rsidR="00C15F97" w:rsidRDefault="00C15F97">
      <w:pPr>
        <w:rPr>
          <w:sz w:val="24"/>
          <w:szCs w:val="24"/>
        </w:rPr>
      </w:pPr>
    </w:p>
    <w:p w:rsidR="00C15F97" w:rsidRDefault="00B95141">
      <w:pPr>
        <w:rPr>
          <w:sz w:val="24"/>
          <w:szCs w:val="24"/>
        </w:rPr>
      </w:pPr>
      <w:r>
        <w:rPr>
          <w:sz w:val="24"/>
          <w:szCs w:val="24"/>
        </w:rPr>
        <w:t>In December 2013, after three years of research, analysis, hallway discussions, public fora, and formal debate</w:t>
      </w:r>
      <w:r w:rsidRPr="005C3D14">
        <w:rPr>
          <w:sz w:val="24"/>
          <w:szCs w:val="24"/>
        </w:rPr>
        <w:t>, the Faculty of Arts &amp; Sciences passed its first new general education curriculum in eighteen years.</w:t>
      </w:r>
      <w:r w:rsidR="00A94813">
        <w:rPr>
          <w:sz w:val="24"/>
          <w:szCs w:val="24"/>
        </w:rPr>
        <w:t xml:space="preserve"> </w:t>
      </w:r>
      <w:r w:rsidR="001B3EA8">
        <w:rPr>
          <w:sz w:val="24"/>
          <w:szCs w:val="24"/>
        </w:rPr>
        <w:t xml:space="preserve">William &amp; Mary’s </w:t>
      </w:r>
      <w:r>
        <w:rPr>
          <w:sz w:val="24"/>
          <w:szCs w:val="24"/>
        </w:rPr>
        <w:t xml:space="preserve">new curriculum is the outcome of a searching consideration of the meaning of liberal education in the contemporary world and a reaffirmation of </w:t>
      </w:r>
      <w:r w:rsidR="001B3EA8">
        <w:rPr>
          <w:sz w:val="24"/>
          <w:szCs w:val="24"/>
        </w:rPr>
        <w:t>our</w:t>
      </w:r>
      <w:r w:rsidR="00A94813">
        <w:rPr>
          <w:sz w:val="24"/>
          <w:szCs w:val="24"/>
        </w:rPr>
        <w:t xml:space="preserve"> commitment to this tradition. </w:t>
      </w:r>
      <w:r>
        <w:rPr>
          <w:sz w:val="24"/>
          <w:szCs w:val="24"/>
        </w:rPr>
        <w:t>It rests</w:t>
      </w:r>
      <w:r w:rsidR="001B3EA8">
        <w:rPr>
          <w:sz w:val="24"/>
          <w:szCs w:val="24"/>
        </w:rPr>
        <w:t>,</w:t>
      </w:r>
      <w:r>
        <w:rPr>
          <w:sz w:val="24"/>
          <w:szCs w:val="24"/>
        </w:rPr>
        <w:t xml:space="preserve"> in particular</w:t>
      </w:r>
      <w:r w:rsidR="001B3EA8">
        <w:rPr>
          <w:sz w:val="24"/>
          <w:szCs w:val="24"/>
        </w:rPr>
        <w:t>,</w:t>
      </w:r>
      <w:r>
        <w:rPr>
          <w:sz w:val="24"/>
          <w:szCs w:val="24"/>
        </w:rPr>
        <w:t xml:space="preserve"> on the foundational commitments to the importance of research</w:t>
      </w:r>
      <w:r w:rsidR="00AD6353">
        <w:rPr>
          <w:sz w:val="24"/>
          <w:szCs w:val="24"/>
        </w:rPr>
        <w:t>-</w:t>
      </w:r>
      <w:r>
        <w:rPr>
          <w:sz w:val="24"/>
          <w:szCs w:val="24"/>
        </w:rPr>
        <w:t xml:space="preserve"> and inquiry-based educational experiences and to the critical value of global perspectives</w:t>
      </w:r>
      <w:r w:rsidR="001B3EA8">
        <w:rPr>
          <w:sz w:val="24"/>
          <w:szCs w:val="24"/>
        </w:rPr>
        <w:t>—both of which</w:t>
      </w:r>
      <w:r>
        <w:rPr>
          <w:sz w:val="24"/>
          <w:szCs w:val="24"/>
        </w:rPr>
        <w:t xml:space="preserve"> have matured on our campus over the past </w:t>
      </w:r>
      <w:r w:rsidR="001B3EA8">
        <w:rPr>
          <w:sz w:val="24"/>
          <w:szCs w:val="24"/>
        </w:rPr>
        <w:t xml:space="preserve">eight </w:t>
      </w:r>
      <w:r>
        <w:rPr>
          <w:sz w:val="24"/>
          <w:szCs w:val="24"/>
        </w:rPr>
        <w:t xml:space="preserve">years thanks </w:t>
      </w:r>
      <w:r w:rsidR="007808FF">
        <w:rPr>
          <w:sz w:val="24"/>
          <w:szCs w:val="24"/>
        </w:rPr>
        <w:t>in no small part to o</w:t>
      </w:r>
      <w:r>
        <w:rPr>
          <w:sz w:val="24"/>
          <w:szCs w:val="24"/>
        </w:rPr>
        <w:t xml:space="preserve">ur partnership in these areas with the </w:t>
      </w:r>
      <w:r w:rsidR="0094486A">
        <w:rPr>
          <w:sz w:val="24"/>
          <w:szCs w:val="24"/>
        </w:rPr>
        <w:t xml:space="preserve">Andrew W. </w:t>
      </w:r>
      <w:r>
        <w:rPr>
          <w:sz w:val="24"/>
          <w:szCs w:val="24"/>
        </w:rPr>
        <w:t>Mellon Foundation.</w:t>
      </w:r>
    </w:p>
    <w:p w:rsidR="00C15F97" w:rsidRDefault="00C15F97">
      <w:pPr>
        <w:rPr>
          <w:sz w:val="24"/>
          <w:szCs w:val="24"/>
        </w:rPr>
      </w:pPr>
    </w:p>
    <w:p w:rsidR="00C15F97" w:rsidRDefault="00B95141">
      <w:pPr>
        <w:rPr>
          <w:sz w:val="24"/>
          <w:szCs w:val="24"/>
        </w:rPr>
      </w:pPr>
      <w:r>
        <w:rPr>
          <w:sz w:val="24"/>
          <w:szCs w:val="24"/>
        </w:rPr>
        <w:t>Some universities change their general curricula in ways that require very few changes in the courses that faculty must teach, even if they readjust the specific mi</w:t>
      </w:r>
      <w:r w:rsidR="006E4390">
        <w:rPr>
          <w:sz w:val="24"/>
          <w:szCs w:val="24"/>
        </w:rPr>
        <w:t xml:space="preserve">x of courses that students must </w:t>
      </w:r>
      <w:r w:rsidR="00A94813">
        <w:rPr>
          <w:sz w:val="24"/>
          <w:szCs w:val="24"/>
        </w:rPr>
        <w:t xml:space="preserve">take. </w:t>
      </w:r>
      <w:r>
        <w:rPr>
          <w:sz w:val="24"/>
          <w:szCs w:val="24"/>
        </w:rPr>
        <w:t>Our new curriculum, in contrast, requires us to develop dozens of new College Courses</w:t>
      </w:r>
      <w:r w:rsidR="001D6B8A">
        <w:rPr>
          <w:sz w:val="24"/>
          <w:szCs w:val="24"/>
        </w:rPr>
        <w:t xml:space="preserve"> (COLL)</w:t>
      </w:r>
      <w:r>
        <w:rPr>
          <w:sz w:val="24"/>
          <w:szCs w:val="24"/>
        </w:rPr>
        <w:t xml:space="preserve"> as well as </w:t>
      </w:r>
      <w:r w:rsidR="007808FF">
        <w:rPr>
          <w:sz w:val="24"/>
          <w:szCs w:val="24"/>
        </w:rPr>
        <w:t xml:space="preserve">to </w:t>
      </w:r>
      <w:r>
        <w:rPr>
          <w:sz w:val="24"/>
          <w:szCs w:val="24"/>
        </w:rPr>
        <w:t>mak</w:t>
      </w:r>
      <w:r w:rsidR="007808FF">
        <w:rPr>
          <w:sz w:val="24"/>
          <w:szCs w:val="24"/>
        </w:rPr>
        <w:t>e</w:t>
      </w:r>
      <w:r>
        <w:rPr>
          <w:sz w:val="24"/>
          <w:szCs w:val="24"/>
        </w:rPr>
        <w:t xml:space="preserve"> many </w:t>
      </w:r>
      <w:r w:rsidR="00334FAA" w:rsidRPr="00A503C3">
        <w:rPr>
          <w:sz w:val="24"/>
          <w:szCs w:val="24"/>
        </w:rPr>
        <w:t>voluntary</w:t>
      </w:r>
      <w:r w:rsidR="00334FAA">
        <w:rPr>
          <w:sz w:val="24"/>
          <w:szCs w:val="24"/>
        </w:rPr>
        <w:t xml:space="preserve"> </w:t>
      </w:r>
      <w:r>
        <w:rPr>
          <w:sz w:val="24"/>
          <w:szCs w:val="24"/>
        </w:rPr>
        <w:t>adjustments to our majors made necessary by their abutment with a rad</w:t>
      </w:r>
      <w:r w:rsidR="008C7383">
        <w:rPr>
          <w:sz w:val="24"/>
          <w:szCs w:val="24"/>
        </w:rPr>
        <w:t xml:space="preserve">ically new general curriculum. </w:t>
      </w:r>
      <w:r>
        <w:rPr>
          <w:sz w:val="24"/>
          <w:szCs w:val="24"/>
        </w:rPr>
        <w:t xml:space="preserve">Moreover, we are eager to implement our new curriculum by the fall of 2015, a tight timetable made necessary, in our judgment, by the need to maintain the energy, clarity of vision, and sense of mission with which our faculty has emerged from our curriculum discussions.  </w:t>
      </w:r>
    </w:p>
    <w:p w:rsidR="00C15F97" w:rsidRDefault="00C15F97">
      <w:pPr>
        <w:rPr>
          <w:sz w:val="24"/>
          <w:szCs w:val="24"/>
        </w:rPr>
      </w:pPr>
    </w:p>
    <w:p w:rsidR="00C15F97" w:rsidRDefault="00B95141">
      <w:pPr>
        <w:rPr>
          <w:sz w:val="24"/>
          <w:szCs w:val="24"/>
        </w:rPr>
      </w:pPr>
      <w:r w:rsidRPr="00A65D97">
        <w:rPr>
          <w:sz w:val="24"/>
          <w:szCs w:val="24"/>
        </w:rPr>
        <w:t>William &amp; Mary</w:t>
      </w:r>
      <w:r w:rsidR="001C2991" w:rsidRPr="00A65D97">
        <w:rPr>
          <w:sz w:val="24"/>
          <w:szCs w:val="24"/>
        </w:rPr>
        <w:t xml:space="preserve"> </w:t>
      </w:r>
      <w:proofErr w:type="gramStart"/>
      <w:r w:rsidR="001C2991" w:rsidRPr="00A65D97">
        <w:rPr>
          <w:sz w:val="24"/>
          <w:szCs w:val="24"/>
        </w:rPr>
        <w:t>has</w:t>
      </w:r>
      <w:proofErr w:type="gramEnd"/>
      <w:r w:rsidR="001C2991" w:rsidRPr="00A65D97">
        <w:rPr>
          <w:sz w:val="24"/>
          <w:szCs w:val="24"/>
        </w:rPr>
        <w:t xml:space="preserve"> much work to do </w:t>
      </w:r>
      <w:r w:rsidR="008C7383">
        <w:rPr>
          <w:sz w:val="24"/>
          <w:szCs w:val="24"/>
        </w:rPr>
        <w:t xml:space="preserve">in a compact timeframe. </w:t>
      </w:r>
      <w:r w:rsidR="00AB7A4A">
        <w:rPr>
          <w:sz w:val="24"/>
          <w:szCs w:val="24"/>
        </w:rPr>
        <w:t xml:space="preserve">We write now to ask the </w:t>
      </w:r>
      <w:r>
        <w:rPr>
          <w:sz w:val="24"/>
          <w:szCs w:val="24"/>
        </w:rPr>
        <w:t xml:space="preserve">Mellon Foundation to assist us </w:t>
      </w:r>
      <w:r w:rsidR="00EA6B30">
        <w:rPr>
          <w:sz w:val="24"/>
          <w:szCs w:val="24"/>
        </w:rPr>
        <w:t xml:space="preserve">in </w:t>
      </w:r>
      <w:r>
        <w:rPr>
          <w:sz w:val="24"/>
          <w:szCs w:val="24"/>
        </w:rPr>
        <w:t>the challenging job of developing and implementing our new curriculum on a</w:t>
      </w:r>
      <w:r w:rsidR="00A503C3">
        <w:rPr>
          <w:sz w:val="24"/>
          <w:szCs w:val="24"/>
        </w:rPr>
        <w:t>n</w:t>
      </w:r>
      <w:r>
        <w:rPr>
          <w:sz w:val="24"/>
          <w:szCs w:val="24"/>
        </w:rPr>
        <w:t xml:space="preserve"> </w:t>
      </w:r>
      <w:r w:rsidR="00A503C3">
        <w:rPr>
          <w:sz w:val="24"/>
          <w:szCs w:val="24"/>
        </w:rPr>
        <w:t>accelerated</w:t>
      </w:r>
      <w:r>
        <w:rPr>
          <w:sz w:val="24"/>
          <w:szCs w:val="24"/>
        </w:rPr>
        <w:t xml:space="preserve"> schedule that would simply not be possible without the Foundation’s assistance.   </w:t>
      </w:r>
    </w:p>
    <w:p w:rsidR="004704C6" w:rsidRDefault="004704C6" w:rsidP="004704C6">
      <w:pPr>
        <w:rPr>
          <w:sz w:val="24"/>
          <w:szCs w:val="24"/>
        </w:rPr>
      </w:pPr>
    </w:p>
    <w:p w:rsidR="004704C6" w:rsidRDefault="004704C6" w:rsidP="004704C6">
      <w:pPr>
        <w:rPr>
          <w:sz w:val="24"/>
          <w:szCs w:val="24"/>
        </w:rPr>
      </w:pPr>
      <w:r>
        <w:rPr>
          <w:b/>
          <w:bCs/>
          <w:sz w:val="24"/>
          <w:szCs w:val="24"/>
        </w:rPr>
        <w:t>William &amp; Mary’s New Curriculum</w:t>
      </w:r>
    </w:p>
    <w:p w:rsidR="004704C6" w:rsidRDefault="004704C6" w:rsidP="004704C6">
      <w:pPr>
        <w:rPr>
          <w:sz w:val="24"/>
          <w:szCs w:val="24"/>
        </w:rPr>
      </w:pPr>
    </w:p>
    <w:p w:rsidR="004704C6" w:rsidRDefault="004704C6" w:rsidP="004704C6">
      <w:pPr>
        <w:rPr>
          <w:sz w:val="24"/>
          <w:szCs w:val="24"/>
        </w:rPr>
      </w:pPr>
      <w:r>
        <w:rPr>
          <w:sz w:val="24"/>
          <w:szCs w:val="24"/>
        </w:rPr>
        <w:t>In early 2013, the faculty passed a series of nine principles that should underlie the new curriculum, and, in December 2013, it</w:t>
      </w:r>
      <w:r w:rsidR="008C7383">
        <w:rPr>
          <w:sz w:val="24"/>
          <w:szCs w:val="24"/>
        </w:rPr>
        <w:t xml:space="preserve"> passed the curriculum itself. </w:t>
      </w:r>
      <w:r>
        <w:rPr>
          <w:sz w:val="24"/>
          <w:szCs w:val="24"/>
        </w:rPr>
        <w:t>At the core of this curriculum will be a ne</w:t>
      </w:r>
      <w:r w:rsidR="008C7383">
        <w:rPr>
          <w:sz w:val="24"/>
          <w:szCs w:val="24"/>
        </w:rPr>
        <w:t xml:space="preserve">w sequence of College Courses. </w:t>
      </w:r>
      <w:r>
        <w:rPr>
          <w:sz w:val="24"/>
          <w:szCs w:val="24"/>
        </w:rPr>
        <w:t>In our current curriculum (a subject matter-based distribution system), students meet over 30 percent of all requirements with Advanced Placement and International Baccalaureate courses. In contrast, the core College Courses in the new curriculum must be met with courses taken a</w:t>
      </w:r>
      <w:r w:rsidR="008C7383">
        <w:rPr>
          <w:sz w:val="24"/>
          <w:szCs w:val="24"/>
        </w:rPr>
        <w:t xml:space="preserve">t William &amp; Mary. </w:t>
      </w:r>
      <w:r>
        <w:rPr>
          <w:sz w:val="24"/>
          <w:szCs w:val="24"/>
        </w:rPr>
        <w:t>This requirement applies to all students, including (in most r</w:t>
      </w:r>
      <w:r w:rsidR="008C7383">
        <w:rPr>
          <w:sz w:val="24"/>
          <w:szCs w:val="24"/>
        </w:rPr>
        <w:t xml:space="preserve">espects) to transfer students. </w:t>
      </w:r>
      <w:r>
        <w:rPr>
          <w:sz w:val="24"/>
          <w:szCs w:val="24"/>
        </w:rPr>
        <w:t>In addition to the new College Courses, students have to meet proficiency requirements, for example, in mathematics and a foreign languag</w:t>
      </w:r>
      <w:r w:rsidR="008C7383">
        <w:rPr>
          <w:sz w:val="24"/>
          <w:szCs w:val="24"/>
        </w:rPr>
        <w:t xml:space="preserve">e. </w:t>
      </w:r>
      <w:r w:rsidRPr="000B1580">
        <w:rPr>
          <w:sz w:val="24"/>
          <w:szCs w:val="24"/>
        </w:rPr>
        <w:t>These proficiency requirements may be fulfilled with work that students have done in high school</w:t>
      </w:r>
      <w:r w:rsidR="001C2991" w:rsidRPr="000B1580">
        <w:rPr>
          <w:sz w:val="24"/>
          <w:szCs w:val="24"/>
        </w:rPr>
        <w:t>.</w:t>
      </w:r>
      <w:r w:rsidR="008C7383">
        <w:rPr>
          <w:sz w:val="24"/>
          <w:szCs w:val="24"/>
        </w:rPr>
        <w:t xml:space="preserve"> </w:t>
      </w:r>
      <w:r>
        <w:rPr>
          <w:sz w:val="24"/>
          <w:szCs w:val="24"/>
        </w:rPr>
        <w:t>While there will be some flexibility in when students may meet these requirements, the core College requirements will be distributed over the four undergraduate years, as outlined here:</w:t>
      </w:r>
    </w:p>
    <w:p w:rsidR="00B744D4" w:rsidRDefault="00B744D4">
      <w:pPr>
        <w:widowControl/>
        <w:autoSpaceDE/>
        <w:autoSpaceDN/>
        <w:adjustRightInd/>
        <w:spacing w:after="200" w:line="276" w:lineRule="auto"/>
        <w:rPr>
          <w:sz w:val="24"/>
          <w:szCs w:val="24"/>
        </w:rPr>
        <w:sectPr w:rsidR="00B744D4" w:rsidSect="00FC177E">
          <w:footerReference w:type="default" r:id="rId8"/>
          <w:footerReference w:type="first" r:id="rId9"/>
          <w:pgSz w:w="12240" w:h="15840"/>
          <w:pgMar w:top="1440" w:right="1440" w:bottom="1440" w:left="1440" w:header="720" w:footer="720" w:gutter="0"/>
          <w:cols w:space="720"/>
          <w:titlePg/>
          <w:docGrid w:linePitch="272"/>
        </w:sectPr>
      </w:pPr>
    </w:p>
    <w:p w:rsidR="004704C6" w:rsidRPr="00CE19B5" w:rsidRDefault="004704C6" w:rsidP="004704C6">
      <w:pPr>
        <w:jc w:val="center"/>
        <w:rPr>
          <w:b/>
          <w:bCs/>
          <w:sz w:val="24"/>
          <w:szCs w:val="24"/>
        </w:rPr>
      </w:pPr>
      <w:r w:rsidRPr="00CE19B5">
        <w:rPr>
          <w:b/>
          <w:bCs/>
          <w:sz w:val="24"/>
          <w:szCs w:val="24"/>
        </w:rPr>
        <w:lastRenderedPageBreak/>
        <w:t>An Outline of William &amp; Mary’s New General Education Curriculum</w:t>
      </w:r>
    </w:p>
    <w:p w:rsidR="004704C6" w:rsidRPr="004F561C" w:rsidRDefault="004704C6" w:rsidP="004704C6">
      <w:pPr>
        <w:jc w:val="center"/>
        <w:rPr>
          <w:b/>
          <w:bCs/>
          <w:sz w:val="22"/>
          <w:szCs w:val="22"/>
        </w:rPr>
      </w:pPr>
    </w:p>
    <w:p w:rsidR="004704C6" w:rsidRPr="00CE19B5" w:rsidRDefault="004704C6" w:rsidP="004704C6">
      <w:pPr>
        <w:jc w:val="center"/>
        <w:rPr>
          <w:b/>
          <w:bCs/>
          <w:sz w:val="23"/>
          <w:szCs w:val="23"/>
        </w:rPr>
      </w:pPr>
      <w:r w:rsidRPr="00CE19B5">
        <w:rPr>
          <w:b/>
          <w:bCs/>
          <w:sz w:val="23"/>
          <w:szCs w:val="23"/>
        </w:rPr>
        <w:t>First Year</w:t>
      </w:r>
    </w:p>
    <w:p w:rsidR="004704C6" w:rsidRPr="00CE19B5" w:rsidRDefault="004704C6" w:rsidP="004704C6">
      <w:pPr>
        <w:rPr>
          <w:b/>
          <w:sz w:val="23"/>
          <w:szCs w:val="23"/>
        </w:rPr>
      </w:pPr>
      <w:r w:rsidRPr="00CE19B5">
        <w:rPr>
          <w:b/>
          <w:sz w:val="23"/>
          <w:szCs w:val="23"/>
        </w:rPr>
        <w:t>COLL 100</w:t>
      </w:r>
    </w:p>
    <w:p w:rsidR="004704C6" w:rsidRPr="00CE19B5" w:rsidRDefault="004704C6" w:rsidP="004704C6">
      <w:pPr>
        <w:rPr>
          <w:sz w:val="23"/>
          <w:szCs w:val="23"/>
        </w:rPr>
      </w:pPr>
      <w:r w:rsidRPr="00CE19B5">
        <w:rPr>
          <w:sz w:val="23"/>
          <w:szCs w:val="23"/>
        </w:rPr>
        <w:t>Limited to 25 students, these four-credit courses will address significant questions and concepts, beliefs and creative visions, theories and discoveries that have shaped o</w:t>
      </w:r>
      <w:r w:rsidR="008C7383">
        <w:rPr>
          <w:sz w:val="23"/>
          <w:szCs w:val="23"/>
        </w:rPr>
        <w:t xml:space="preserve">ur understanding of the world. </w:t>
      </w:r>
      <w:r w:rsidRPr="00CE19B5">
        <w:rPr>
          <w:sz w:val="23"/>
          <w:szCs w:val="23"/>
        </w:rPr>
        <w:t xml:space="preserve">Students will learn about the discoveries, texts, and knowledge that are fundamental to further study in one or more academic disciplines, and a key objective will be for faculty to model the mode of inquiry in their discipline and to convey the excitement that attends work in this field.  </w:t>
      </w:r>
    </w:p>
    <w:p w:rsidR="004704C6" w:rsidRPr="00CE19B5" w:rsidRDefault="004704C6" w:rsidP="004704C6">
      <w:pPr>
        <w:rPr>
          <w:sz w:val="23"/>
          <w:szCs w:val="23"/>
        </w:rPr>
      </w:pPr>
    </w:p>
    <w:p w:rsidR="004704C6" w:rsidRPr="00CE19B5" w:rsidRDefault="00ED51CB" w:rsidP="004704C6">
      <w:pPr>
        <w:rPr>
          <w:sz w:val="23"/>
          <w:szCs w:val="23"/>
        </w:rPr>
      </w:pPr>
      <w:r w:rsidRPr="00CE19B5">
        <w:rPr>
          <w:sz w:val="23"/>
          <w:szCs w:val="23"/>
        </w:rPr>
        <w:t>These</w:t>
      </w:r>
      <w:r w:rsidR="004704C6" w:rsidRPr="00CE19B5">
        <w:rPr>
          <w:sz w:val="23"/>
          <w:szCs w:val="23"/>
        </w:rPr>
        <w:t xml:space="preserve"> courses will include a systematic introduction to the library and other academic resources, and to the ways that information is accessed, evaluated, and c</w:t>
      </w:r>
      <w:r w:rsidR="008C7383">
        <w:rPr>
          <w:sz w:val="23"/>
          <w:szCs w:val="23"/>
        </w:rPr>
        <w:t xml:space="preserve">ommunicated in the discipline. </w:t>
      </w:r>
      <w:r w:rsidR="004704C6" w:rsidRPr="00CE19B5">
        <w:rPr>
          <w:sz w:val="23"/>
          <w:szCs w:val="23"/>
        </w:rPr>
        <w:t>COLL 100s will also help students develop communication skills beyond the written and spoken words, including visual, quantitative, and digital and/or multi-media expression.</w:t>
      </w:r>
    </w:p>
    <w:p w:rsidR="004704C6" w:rsidRPr="00CE19B5" w:rsidRDefault="004704C6" w:rsidP="004704C6">
      <w:pPr>
        <w:rPr>
          <w:sz w:val="23"/>
          <w:szCs w:val="23"/>
        </w:rPr>
      </w:pPr>
    </w:p>
    <w:p w:rsidR="004704C6" w:rsidRPr="00CE19B5" w:rsidRDefault="004704C6" w:rsidP="004704C6">
      <w:pPr>
        <w:rPr>
          <w:b/>
          <w:sz w:val="23"/>
          <w:szCs w:val="23"/>
        </w:rPr>
      </w:pPr>
      <w:r w:rsidRPr="00CE19B5">
        <w:rPr>
          <w:b/>
          <w:sz w:val="23"/>
          <w:szCs w:val="23"/>
        </w:rPr>
        <w:t>COLL 150</w:t>
      </w:r>
    </w:p>
    <w:p w:rsidR="004704C6" w:rsidRPr="00CE19B5" w:rsidRDefault="004704C6" w:rsidP="004704C6">
      <w:pPr>
        <w:rPr>
          <w:sz w:val="23"/>
          <w:szCs w:val="23"/>
        </w:rPr>
      </w:pPr>
      <w:r w:rsidRPr="00CE19B5">
        <w:rPr>
          <w:sz w:val="23"/>
          <w:szCs w:val="23"/>
        </w:rPr>
        <w:t xml:space="preserve">These four-credit </w:t>
      </w:r>
      <w:r w:rsidR="001C2991" w:rsidRPr="00CE19B5">
        <w:rPr>
          <w:sz w:val="23"/>
          <w:szCs w:val="23"/>
        </w:rPr>
        <w:t xml:space="preserve">first-year </w:t>
      </w:r>
      <w:r w:rsidRPr="00CE19B5">
        <w:rPr>
          <w:sz w:val="23"/>
          <w:szCs w:val="23"/>
        </w:rPr>
        <w:t>seminars will encourage students to think deeply and indepe</w:t>
      </w:r>
      <w:r w:rsidR="008C7383">
        <w:rPr>
          <w:sz w:val="23"/>
          <w:szCs w:val="23"/>
        </w:rPr>
        <w:t xml:space="preserve">ndently on a particular topic. </w:t>
      </w:r>
      <w:r w:rsidRPr="00CE19B5">
        <w:rPr>
          <w:sz w:val="23"/>
          <w:szCs w:val="23"/>
        </w:rPr>
        <w:t xml:space="preserve">While both COLL 100 and 150 present students with opportunities to engage actively with primary materials, on balance COLL 100 is organized around faculty modeling rigorous inquiry, while COLL 150 is structured around students working independently and engaging in inquiry under faculty supervision.  </w:t>
      </w:r>
    </w:p>
    <w:p w:rsidR="004704C6" w:rsidRPr="00CE19B5" w:rsidRDefault="004704C6" w:rsidP="004704C6">
      <w:pPr>
        <w:rPr>
          <w:sz w:val="23"/>
          <w:szCs w:val="23"/>
        </w:rPr>
      </w:pPr>
    </w:p>
    <w:p w:rsidR="004704C6" w:rsidRPr="00CE19B5" w:rsidRDefault="00ED51CB" w:rsidP="004704C6">
      <w:pPr>
        <w:rPr>
          <w:sz w:val="23"/>
          <w:szCs w:val="23"/>
        </w:rPr>
      </w:pPr>
      <w:r w:rsidRPr="00CE19B5">
        <w:rPr>
          <w:sz w:val="23"/>
          <w:szCs w:val="23"/>
        </w:rPr>
        <w:t>These</w:t>
      </w:r>
      <w:r w:rsidR="004704C6" w:rsidRPr="00CE19B5">
        <w:rPr>
          <w:sz w:val="23"/>
          <w:szCs w:val="23"/>
        </w:rPr>
        <w:t xml:space="preserve"> courses will provide students with explicit writing instruction and multiple opportunities</w:t>
      </w:r>
      <w:r w:rsidR="008C7383">
        <w:rPr>
          <w:sz w:val="23"/>
          <w:szCs w:val="23"/>
        </w:rPr>
        <w:t xml:space="preserve"> to write and re-write essays. </w:t>
      </w:r>
      <w:r w:rsidR="004704C6" w:rsidRPr="00CE19B5">
        <w:rPr>
          <w:sz w:val="23"/>
          <w:szCs w:val="23"/>
        </w:rPr>
        <w:t xml:space="preserve">The courses will also emphasize discussion and oral presentation, and they will initiate the development and practice of research skills.                 </w:t>
      </w:r>
    </w:p>
    <w:p w:rsidR="004704C6" w:rsidRPr="00CE19B5" w:rsidRDefault="004704C6" w:rsidP="004704C6">
      <w:pPr>
        <w:rPr>
          <w:sz w:val="23"/>
          <w:szCs w:val="23"/>
        </w:rPr>
      </w:pPr>
    </w:p>
    <w:p w:rsidR="004704C6" w:rsidRPr="00CE19B5" w:rsidRDefault="004704C6" w:rsidP="004704C6">
      <w:pPr>
        <w:jc w:val="center"/>
        <w:rPr>
          <w:sz w:val="23"/>
          <w:szCs w:val="23"/>
        </w:rPr>
      </w:pPr>
      <w:r w:rsidRPr="00CE19B5">
        <w:rPr>
          <w:b/>
          <w:bCs/>
          <w:sz w:val="23"/>
          <w:szCs w:val="23"/>
        </w:rPr>
        <w:t>Second Year</w:t>
      </w:r>
    </w:p>
    <w:p w:rsidR="004704C6" w:rsidRPr="00CE19B5" w:rsidRDefault="004704C6" w:rsidP="004704C6">
      <w:pPr>
        <w:rPr>
          <w:b/>
          <w:sz w:val="23"/>
          <w:szCs w:val="23"/>
        </w:rPr>
      </w:pPr>
      <w:r w:rsidRPr="00CE19B5">
        <w:rPr>
          <w:b/>
          <w:sz w:val="23"/>
          <w:szCs w:val="23"/>
        </w:rPr>
        <w:t xml:space="preserve">COLL 200 </w:t>
      </w:r>
    </w:p>
    <w:p w:rsidR="004704C6" w:rsidRPr="00CE19B5" w:rsidRDefault="004704C6" w:rsidP="004704C6">
      <w:pPr>
        <w:rPr>
          <w:sz w:val="23"/>
          <w:szCs w:val="23"/>
        </w:rPr>
      </w:pPr>
      <w:r w:rsidRPr="00CE19B5">
        <w:rPr>
          <w:sz w:val="23"/>
          <w:szCs w:val="23"/>
        </w:rPr>
        <w:t xml:space="preserve">Students must take 12 credits in specially designed </w:t>
      </w:r>
      <w:r w:rsidR="007A4B25" w:rsidRPr="00CE19B5">
        <w:rPr>
          <w:sz w:val="23"/>
          <w:szCs w:val="23"/>
        </w:rPr>
        <w:t>College Course</w:t>
      </w:r>
      <w:r w:rsidRPr="00CE19B5">
        <w:rPr>
          <w:sz w:val="23"/>
          <w:szCs w:val="23"/>
        </w:rPr>
        <w:t>s that will be distributed</w:t>
      </w:r>
      <w:r w:rsidR="008C7383">
        <w:rPr>
          <w:sz w:val="23"/>
          <w:szCs w:val="23"/>
        </w:rPr>
        <w:t xml:space="preserve"> over three knowledge domains. </w:t>
      </w:r>
      <w:r w:rsidRPr="00CE19B5">
        <w:rPr>
          <w:sz w:val="23"/>
          <w:szCs w:val="23"/>
        </w:rPr>
        <w:t xml:space="preserve">They take at least two additional credits in each of the domains that are drawn from the broader curriculum.  </w:t>
      </w:r>
    </w:p>
    <w:p w:rsidR="004704C6" w:rsidRPr="00CE19B5" w:rsidRDefault="004704C6" w:rsidP="004704C6">
      <w:pPr>
        <w:rPr>
          <w:sz w:val="23"/>
          <w:szCs w:val="23"/>
        </w:rPr>
      </w:pPr>
    </w:p>
    <w:p w:rsidR="004704C6" w:rsidRPr="00CE19B5" w:rsidRDefault="004704C6" w:rsidP="004704C6">
      <w:pPr>
        <w:rPr>
          <w:sz w:val="23"/>
          <w:szCs w:val="23"/>
        </w:rPr>
      </w:pPr>
      <w:r w:rsidRPr="00CE19B5">
        <w:rPr>
          <w:sz w:val="23"/>
          <w:szCs w:val="23"/>
        </w:rPr>
        <w:t>The domains are: Arts, Letters, and Values; Cultures, Societies, and the Individual; and The Natural Wor</w:t>
      </w:r>
      <w:r w:rsidR="008C7383">
        <w:rPr>
          <w:sz w:val="23"/>
          <w:szCs w:val="23"/>
        </w:rPr>
        <w:t xml:space="preserve">ld and Quantitative Reasoning. </w:t>
      </w:r>
      <w:r w:rsidRPr="00CE19B5">
        <w:rPr>
          <w:sz w:val="23"/>
          <w:szCs w:val="23"/>
        </w:rPr>
        <w:t xml:space="preserve">Each COLL 200 course will provide students with an introduction to the ideas and methods central to its domain, while also looking outward to one or both of the other domains, and, by doing so, placing the course in the broader framework of the liberal arts.        </w:t>
      </w:r>
    </w:p>
    <w:p w:rsidR="004704C6" w:rsidRPr="00CE19B5" w:rsidRDefault="004704C6" w:rsidP="004704C6">
      <w:pPr>
        <w:rPr>
          <w:sz w:val="23"/>
          <w:szCs w:val="23"/>
        </w:rPr>
      </w:pPr>
    </w:p>
    <w:p w:rsidR="004704C6" w:rsidRPr="00CE19B5" w:rsidRDefault="004704C6" w:rsidP="004704C6">
      <w:pPr>
        <w:jc w:val="center"/>
        <w:rPr>
          <w:sz w:val="23"/>
          <w:szCs w:val="23"/>
        </w:rPr>
      </w:pPr>
      <w:r w:rsidRPr="00CE19B5">
        <w:rPr>
          <w:b/>
          <w:bCs/>
          <w:sz w:val="23"/>
          <w:szCs w:val="23"/>
        </w:rPr>
        <w:t>Third Year</w:t>
      </w:r>
    </w:p>
    <w:p w:rsidR="004704C6" w:rsidRPr="00CE19B5" w:rsidRDefault="004704C6" w:rsidP="004704C6">
      <w:pPr>
        <w:rPr>
          <w:b/>
          <w:sz w:val="23"/>
          <w:szCs w:val="23"/>
        </w:rPr>
      </w:pPr>
      <w:r w:rsidRPr="00CE19B5">
        <w:rPr>
          <w:b/>
          <w:sz w:val="23"/>
          <w:szCs w:val="23"/>
        </w:rPr>
        <w:t>COLL 300</w:t>
      </w:r>
    </w:p>
    <w:p w:rsidR="004704C6" w:rsidRPr="00CE19B5" w:rsidRDefault="004704C6" w:rsidP="004704C6">
      <w:pPr>
        <w:rPr>
          <w:sz w:val="23"/>
          <w:szCs w:val="23"/>
        </w:rPr>
      </w:pPr>
      <w:r w:rsidRPr="00CE19B5">
        <w:rPr>
          <w:sz w:val="23"/>
          <w:szCs w:val="23"/>
        </w:rPr>
        <w:t>Students must take a course that joins them with people, places, and ideas that lift them out of their familiar surroundings and asks them to use their knowledge, their emerging expertise in framing questions, and their communication skills to engage the world in a self-r</w:t>
      </w:r>
      <w:r w:rsidR="008C7383">
        <w:rPr>
          <w:sz w:val="23"/>
          <w:szCs w:val="23"/>
        </w:rPr>
        <w:t xml:space="preserve">eflective, cross-cultural way. </w:t>
      </w:r>
      <w:r w:rsidRPr="00CE19B5">
        <w:rPr>
          <w:sz w:val="23"/>
          <w:szCs w:val="23"/>
        </w:rPr>
        <w:t>Students will meet this requirement with approved study abroad courses and other off-campus and on-campus courses that include significant global or cross-cul</w:t>
      </w:r>
      <w:r w:rsidR="008C7383">
        <w:rPr>
          <w:sz w:val="23"/>
          <w:szCs w:val="23"/>
        </w:rPr>
        <w:t xml:space="preserve">tural content and experiences. </w:t>
      </w:r>
      <w:r w:rsidRPr="00CE19B5">
        <w:rPr>
          <w:sz w:val="23"/>
          <w:szCs w:val="23"/>
        </w:rPr>
        <w:t xml:space="preserve">Courses that meet this requirement must highlight at </w:t>
      </w:r>
      <w:proofErr w:type="gramStart"/>
      <w:r w:rsidRPr="00CE19B5">
        <w:rPr>
          <w:sz w:val="23"/>
          <w:szCs w:val="23"/>
        </w:rPr>
        <w:t>least</w:t>
      </w:r>
      <w:proofErr w:type="gramEnd"/>
      <w:r w:rsidRPr="00CE19B5">
        <w:rPr>
          <w:sz w:val="23"/>
          <w:szCs w:val="23"/>
        </w:rPr>
        <w:t xml:space="preserve"> one of the three knowledge domains.  </w:t>
      </w:r>
    </w:p>
    <w:p w:rsidR="004704C6" w:rsidRPr="00CE19B5" w:rsidRDefault="004704C6" w:rsidP="004704C6">
      <w:pPr>
        <w:jc w:val="center"/>
        <w:rPr>
          <w:b/>
          <w:bCs/>
          <w:sz w:val="23"/>
          <w:szCs w:val="23"/>
        </w:rPr>
      </w:pPr>
    </w:p>
    <w:p w:rsidR="004704C6" w:rsidRPr="00CE19B5" w:rsidRDefault="004704C6" w:rsidP="004704C6">
      <w:pPr>
        <w:jc w:val="center"/>
        <w:rPr>
          <w:sz w:val="23"/>
          <w:szCs w:val="23"/>
        </w:rPr>
      </w:pPr>
      <w:r w:rsidRPr="00CE19B5">
        <w:rPr>
          <w:b/>
          <w:bCs/>
          <w:sz w:val="23"/>
          <w:szCs w:val="23"/>
        </w:rPr>
        <w:t>Fourth Year</w:t>
      </w:r>
    </w:p>
    <w:p w:rsidR="004704C6" w:rsidRPr="00CE19B5" w:rsidRDefault="004704C6" w:rsidP="004704C6">
      <w:pPr>
        <w:rPr>
          <w:b/>
          <w:sz w:val="23"/>
          <w:szCs w:val="23"/>
        </w:rPr>
      </w:pPr>
      <w:r w:rsidRPr="00CE19B5">
        <w:rPr>
          <w:b/>
          <w:sz w:val="23"/>
          <w:szCs w:val="23"/>
        </w:rPr>
        <w:t>COLL 400</w:t>
      </w:r>
    </w:p>
    <w:p w:rsidR="00B744D4" w:rsidRPr="00CE19B5" w:rsidRDefault="004704C6" w:rsidP="00EA6B30">
      <w:pPr>
        <w:rPr>
          <w:sz w:val="23"/>
          <w:szCs w:val="23"/>
        </w:rPr>
        <w:sectPr w:rsidR="00B744D4" w:rsidRPr="00CE19B5" w:rsidSect="00095022">
          <w:pgSz w:w="12240" w:h="15840" w:code="1"/>
          <w:pgMar w:top="1008" w:right="1008" w:bottom="1008" w:left="1008" w:header="1008" w:footer="432"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CE19B5">
        <w:rPr>
          <w:sz w:val="23"/>
          <w:szCs w:val="23"/>
        </w:rPr>
        <w:t>This will be a capstone experience, usually, but not always, fulfilled within the major, that requires students to take initiative in synthesis and critical analysis, to solve problems in applied and/or academic settings, to create original scholarship, an</w:t>
      </w:r>
      <w:r w:rsidR="008C7383">
        <w:rPr>
          <w:sz w:val="23"/>
          <w:szCs w:val="23"/>
        </w:rPr>
        <w:t xml:space="preserve">d to communicate effectively. </w:t>
      </w:r>
      <w:r w:rsidRPr="00CE19B5">
        <w:rPr>
          <w:sz w:val="23"/>
          <w:szCs w:val="23"/>
        </w:rPr>
        <w:t xml:space="preserve">This requirement will be met with advanced research seminars as well as with honors theses and other independent research experiences.      </w:t>
      </w:r>
    </w:p>
    <w:p w:rsidR="00EA6B30" w:rsidRDefault="00EA6B30" w:rsidP="00EA6B30">
      <w:pPr>
        <w:rPr>
          <w:sz w:val="24"/>
          <w:szCs w:val="24"/>
        </w:rPr>
      </w:pPr>
      <w:r>
        <w:rPr>
          <w:b/>
          <w:bCs/>
          <w:sz w:val="24"/>
          <w:szCs w:val="24"/>
        </w:rPr>
        <w:lastRenderedPageBreak/>
        <w:t>A Four-Year Liberal Arts Curriculum</w:t>
      </w:r>
    </w:p>
    <w:p w:rsidR="00EA6B30" w:rsidRDefault="00EA6B30" w:rsidP="00EA6B30">
      <w:pPr>
        <w:rPr>
          <w:sz w:val="24"/>
          <w:szCs w:val="24"/>
        </w:rPr>
      </w:pPr>
    </w:p>
    <w:p w:rsidR="00EA6B30" w:rsidRDefault="00EA6B30" w:rsidP="00EA6B30">
      <w:pPr>
        <w:rPr>
          <w:sz w:val="24"/>
          <w:szCs w:val="24"/>
        </w:rPr>
      </w:pPr>
      <w:r>
        <w:rPr>
          <w:sz w:val="24"/>
          <w:szCs w:val="24"/>
        </w:rPr>
        <w:t>At most universities, students are expected to complete their general education requirements in one or two years, wit</w:t>
      </w:r>
      <w:r w:rsidR="003D3F93">
        <w:rPr>
          <w:sz w:val="24"/>
          <w:szCs w:val="24"/>
        </w:rPr>
        <w:t xml:space="preserve">h the implicit assumption </w:t>
      </w:r>
      <w:r w:rsidR="003D3F93" w:rsidRPr="000B1580">
        <w:rPr>
          <w:sz w:val="24"/>
          <w:szCs w:val="24"/>
        </w:rPr>
        <w:t xml:space="preserve">that </w:t>
      </w:r>
      <w:r w:rsidR="00DC6C15" w:rsidRPr="000B1580">
        <w:rPr>
          <w:sz w:val="24"/>
          <w:szCs w:val="24"/>
        </w:rPr>
        <w:t>“</w:t>
      </w:r>
      <w:r w:rsidRPr="000B1580">
        <w:rPr>
          <w:sz w:val="24"/>
          <w:szCs w:val="24"/>
        </w:rPr>
        <w:t>gen-ed</w:t>
      </w:r>
      <w:r w:rsidR="00DC6C15" w:rsidRPr="000B1580">
        <w:rPr>
          <w:sz w:val="24"/>
          <w:szCs w:val="24"/>
        </w:rPr>
        <w:t>”</w:t>
      </w:r>
      <w:r w:rsidRPr="000B1580">
        <w:rPr>
          <w:sz w:val="24"/>
          <w:szCs w:val="24"/>
        </w:rPr>
        <w:t xml:space="preserve"> </w:t>
      </w:r>
      <w:r>
        <w:rPr>
          <w:sz w:val="24"/>
          <w:szCs w:val="24"/>
        </w:rPr>
        <w:t>is a juvenile prelude to the more mature work that stu</w:t>
      </w:r>
      <w:r w:rsidR="008C7383">
        <w:rPr>
          <w:sz w:val="24"/>
          <w:szCs w:val="24"/>
        </w:rPr>
        <w:t xml:space="preserve">dents will do in their majors. </w:t>
      </w:r>
      <w:r>
        <w:rPr>
          <w:sz w:val="24"/>
          <w:szCs w:val="24"/>
        </w:rPr>
        <w:t>Our new curriculum, in contrast, extends across all four years of</w:t>
      </w:r>
      <w:r w:rsidR="008C7383">
        <w:rPr>
          <w:sz w:val="24"/>
          <w:szCs w:val="24"/>
        </w:rPr>
        <w:t xml:space="preserve"> the undergraduate experience. </w:t>
      </w:r>
      <w:r>
        <w:rPr>
          <w:sz w:val="24"/>
          <w:szCs w:val="24"/>
        </w:rPr>
        <w:t xml:space="preserve">This </w:t>
      </w:r>
      <w:r w:rsidR="00D80154">
        <w:rPr>
          <w:sz w:val="24"/>
          <w:szCs w:val="24"/>
        </w:rPr>
        <w:t xml:space="preserve">decision </w:t>
      </w:r>
      <w:r>
        <w:rPr>
          <w:sz w:val="24"/>
          <w:szCs w:val="24"/>
        </w:rPr>
        <w:t>reflects our commitment to the liberal arts and to the importance</w:t>
      </w:r>
      <w:r w:rsidR="005A7E5C">
        <w:rPr>
          <w:sz w:val="24"/>
          <w:szCs w:val="24"/>
        </w:rPr>
        <w:t xml:space="preserve"> that</w:t>
      </w:r>
      <w:r>
        <w:rPr>
          <w:sz w:val="24"/>
          <w:szCs w:val="24"/>
        </w:rPr>
        <w:t xml:space="preserve"> we attach to helping students prepare to live lives as engaged democratic citizens and flourishing human be</w:t>
      </w:r>
      <w:r w:rsidR="008C7383">
        <w:rPr>
          <w:sz w:val="24"/>
          <w:szCs w:val="24"/>
        </w:rPr>
        <w:t xml:space="preserve">ings. </w:t>
      </w:r>
      <w:r>
        <w:rPr>
          <w:sz w:val="24"/>
          <w:szCs w:val="24"/>
        </w:rPr>
        <w:t xml:space="preserve">It also reflects our conviction that education in the liberal arts has an important role to play </w:t>
      </w:r>
      <w:r w:rsidR="005A7E5C">
        <w:rPr>
          <w:sz w:val="24"/>
          <w:szCs w:val="24"/>
        </w:rPr>
        <w:t xml:space="preserve">in </w:t>
      </w:r>
      <w:r>
        <w:rPr>
          <w:sz w:val="24"/>
          <w:szCs w:val="24"/>
        </w:rPr>
        <w:t xml:space="preserve">equipping students with the critical capacities and communication skills that will make them productive and ethical leaders in their professions. For this reason, we believe that it is a mistake to </w:t>
      </w:r>
      <w:r w:rsidRPr="00BC52E0">
        <w:rPr>
          <w:sz w:val="24"/>
          <w:szCs w:val="24"/>
        </w:rPr>
        <w:t>leave liberal arts work</w:t>
      </w:r>
      <w:r>
        <w:rPr>
          <w:sz w:val="24"/>
          <w:szCs w:val="24"/>
        </w:rPr>
        <w:t xml:space="preserve"> out of the experience of upper-level students just as they are turning more and more to advanced and, in some cases, professional preparation in their majors.</w:t>
      </w:r>
    </w:p>
    <w:p w:rsidR="00EA6B30" w:rsidRDefault="00EA6B30" w:rsidP="00EA6B30">
      <w:pPr>
        <w:rPr>
          <w:b/>
          <w:bCs/>
          <w:sz w:val="24"/>
          <w:szCs w:val="24"/>
        </w:rPr>
      </w:pPr>
    </w:p>
    <w:p w:rsidR="00EA6B30" w:rsidRDefault="00EA6B30" w:rsidP="00EA6B30">
      <w:pPr>
        <w:rPr>
          <w:sz w:val="24"/>
          <w:szCs w:val="24"/>
        </w:rPr>
      </w:pPr>
      <w:r>
        <w:rPr>
          <w:b/>
          <w:bCs/>
          <w:sz w:val="24"/>
          <w:szCs w:val="24"/>
        </w:rPr>
        <w:t>Balancing Inquiry and Substantive Knowledge</w:t>
      </w:r>
    </w:p>
    <w:p w:rsidR="00EA6B30" w:rsidRDefault="00EA6B30" w:rsidP="00EA6B30">
      <w:pPr>
        <w:rPr>
          <w:sz w:val="24"/>
          <w:szCs w:val="24"/>
        </w:rPr>
      </w:pPr>
    </w:p>
    <w:p w:rsidR="00EA6B30" w:rsidRDefault="00EA6B30" w:rsidP="00EA6B30">
      <w:pPr>
        <w:rPr>
          <w:sz w:val="24"/>
          <w:szCs w:val="24"/>
        </w:rPr>
      </w:pPr>
      <w:r>
        <w:rPr>
          <w:sz w:val="24"/>
          <w:szCs w:val="24"/>
        </w:rPr>
        <w:t>One reason that the concept of liberal education has survived since the Middle Ages is that it is composed of a family of dynamic tensions that cannot easily be factored, without rema</w:t>
      </w:r>
      <w:r w:rsidR="00805245">
        <w:rPr>
          <w:sz w:val="24"/>
          <w:szCs w:val="24"/>
        </w:rPr>
        <w:t xml:space="preserve">inder, into constituent parts. </w:t>
      </w:r>
      <w:r>
        <w:rPr>
          <w:sz w:val="24"/>
          <w:szCs w:val="24"/>
        </w:rPr>
        <w:t>The most prominent of these is the tension between a commitment to conveying settled knowledge on specific subjects and an emphasis on preparing students to conduct open inquiry, solve problems, and reco</w:t>
      </w:r>
      <w:r w:rsidR="00805245">
        <w:rPr>
          <w:sz w:val="24"/>
          <w:szCs w:val="24"/>
        </w:rPr>
        <w:t xml:space="preserve">ncile diverse interpretations. </w:t>
      </w:r>
      <w:r>
        <w:rPr>
          <w:sz w:val="24"/>
          <w:szCs w:val="24"/>
        </w:rPr>
        <w:t xml:space="preserve">On the one hand, we often associate the medieval liberal arts curriculum with the </w:t>
      </w:r>
      <w:r w:rsidRPr="007808FF">
        <w:rPr>
          <w:i/>
          <w:sz w:val="24"/>
          <w:szCs w:val="24"/>
        </w:rPr>
        <w:t>Trivium</w:t>
      </w:r>
      <w:r>
        <w:rPr>
          <w:sz w:val="24"/>
          <w:szCs w:val="24"/>
        </w:rPr>
        <w:t xml:space="preserve"> and the </w:t>
      </w:r>
      <w:r w:rsidRPr="007808FF">
        <w:rPr>
          <w:i/>
          <w:sz w:val="24"/>
          <w:szCs w:val="24"/>
        </w:rPr>
        <w:t>Quadrivium</w:t>
      </w:r>
      <w:r>
        <w:rPr>
          <w:sz w:val="24"/>
          <w:szCs w:val="24"/>
        </w:rPr>
        <w:t xml:space="preserve">, specific menus </w:t>
      </w:r>
      <w:r w:rsidRPr="006C1355">
        <w:rPr>
          <w:sz w:val="24"/>
          <w:szCs w:val="24"/>
        </w:rPr>
        <w:t>of subjects that properly educated gentlemen</w:t>
      </w:r>
      <w:r w:rsidR="00805245">
        <w:rPr>
          <w:sz w:val="24"/>
          <w:szCs w:val="24"/>
        </w:rPr>
        <w:t xml:space="preserve"> were to learn, often by rote. </w:t>
      </w:r>
      <w:r w:rsidRPr="006C1355">
        <w:rPr>
          <w:sz w:val="24"/>
          <w:szCs w:val="24"/>
        </w:rPr>
        <w:t xml:space="preserve">On the other, it is evident </w:t>
      </w:r>
      <w:r w:rsidR="00DC6C15" w:rsidRPr="006C1355">
        <w:rPr>
          <w:sz w:val="24"/>
          <w:szCs w:val="24"/>
        </w:rPr>
        <w:t xml:space="preserve">from medieval sources </w:t>
      </w:r>
      <w:r>
        <w:rPr>
          <w:sz w:val="24"/>
          <w:szCs w:val="24"/>
        </w:rPr>
        <w:t xml:space="preserve">that the reason for teaching logic, rhetoric, mathematics, etc. was to equip students to evaluate the soundness of arguments and to further our knowledge of justice and the unity of God’s Creation.     </w:t>
      </w:r>
    </w:p>
    <w:p w:rsidR="00EA6B30" w:rsidRDefault="00EA6B30" w:rsidP="00EA6B30">
      <w:pPr>
        <w:rPr>
          <w:sz w:val="24"/>
          <w:szCs w:val="24"/>
        </w:rPr>
      </w:pPr>
    </w:p>
    <w:p w:rsidR="00EA6B30" w:rsidRDefault="00EA6B30" w:rsidP="00EA6B30">
      <w:pPr>
        <w:rPr>
          <w:sz w:val="24"/>
          <w:szCs w:val="24"/>
        </w:rPr>
      </w:pPr>
      <w:r>
        <w:rPr>
          <w:sz w:val="24"/>
          <w:szCs w:val="24"/>
        </w:rPr>
        <w:t xml:space="preserve">The curriculum </w:t>
      </w:r>
      <w:r w:rsidR="005A7E5C">
        <w:rPr>
          <w:sz w:val="24"/>
          <w:szCs w:val="24"/>
        </w:rPr>
        <w:t xml:space="preserve">that </w:t>
      </w:r>
      <w:r>
        <w:rPr>
          <w:sz w:val="24"/>
          <w:szCs w:val="24"/>
        </w:rPr>
        <w:t xml:space="preserve">William &amp; Mary </w:t>
      </w:r>
      <w:proofErr w:type="gramStart"/>
      <w:r>
        <w:rPr>
          <w:sz w:val="24"/>
          <w:szCs w:val="24"/>
        </w:rPr>
        <w:t>has</w:t>
      </w:r>
      <w:proofErr w:type="gramEnd"/>
      <w:r>
        <w:rPr>
          <w:sz w:val="24"/>
          <w:szCs w:val="24"/>
        </w:rPr>
        <w:t xml:space="preserve"> had since the mid-1990s, requiring students to take courses in eleven different subject fields, is squarely in the tradition of the </w:t>
      </w:r>
      <w:r w:rsidRPr="007808FF">
        <w:rPr>
          <w:i/>
          <w:sz w:val="24"/>
          <w:szCs w:val="24"/>
        </w:rPr>
        <w:t>Quadrivium</w:t>
      </w:r>
      <w:r w:rsidR="00805245">
        <w:rPr>
          <w:sz w:val="24"/>
          <w:szCs w:val="24"/>
        </w:rPr>
        <w:t xml:space="preserve">. </w:t>
      </w:r>
      <w:r>
        <w:rPr>
          <w:sz w:val="24"/>
          <w:szCs w:val="24"/>
        </w:rPr>
        <w:t xml:space="preserve">In 1993, as we were developing this curriculum, the College was a different place than it </w:t>
      </w:r>
      <w:r w:rsidR="005A7E5C">
        <w:rPr>
          <w:sz w:val="24"/>
          <w:szCs w:val="24"/>
        </w:rPr>
        <w:t>is</w:t>
      </w:r>
      <w:r w:rsidR="00805245">
        <w:rPr>
          <w:sz w:val="24"/>
          <w:szCs w:val="24"/>
        </w:rPr>
        <w:t xml:space="preserve"> today. </w:t>
      </w:r>
      <w:r>
        <w:rPr>
          <w:sz w:val="24"/>
          <w:szCs w:val="24"/>
        </w:rPr>
        <w:t xml:space="preserve">Only a handful of upper-level students, primarily in the experimental sciences, had opportunities to conduct </w:t>
      </w:r>
      <w:r w:rsidR="00AD7CFD">
        <w:rPr>
          <w:sz w:val="24"/>
          <w:szCs w:val="24"/>
        </w:rPr>
        <w:t xml:space="preserve">undergraduate </w:t>
      </w:r>
      <w:r w:rsidR="00805245">
        <w:rPr>
          <w:sz w:val="24"/>
          <w:szCs w:val="24"/>
        </w:rPr>
        <w:t xml:space="preserve">research. </w:t>
      </w:r>
      <w:r>
        <w:rPr>
          <w:sz w:val="24"/>
          <w:szCs w:val="24"/>
        </w:rPr>
        <w:t xml:space="preserve">Moreover, a study that we undertook at that time revealed that one-third of our first-year students had no classes smaller than 50 students, and that fully one-quarter of them did not write a single paper in their </w:t>
      </w:r>
      <w:r w:rsidR="0051774C">
        <w:rPr>
          <w:sz w:val="24"/>
          <w:szCs w:val="24"/>
        </w:rPr>
        <w:t>initial</w:t>
      </w:r>
      <w:r w:rsidR="00DA78AC">
        <w:rPr>
          <w:sz w:val="24"/>
          <w:szCs w:val="24"/>
        </w:rPr>
        <w:t xml:space="preserve"> </w:t>
      </w:r>
      <w:r w:rsidR="00805245">
        <w:rPr>
          <w:sz w:val="24"/>
          <w:szCs w:val="24"/>
        </w:rPr>
        <w:t xml:space="preserve">year at the College. </w:t>
      </w:r>
      <w:r>
        <w:rPr>
          <w:sz w:val="24"/>
          <w:szCs w:val="24"/>
        </w:rPr>
        <w:t>This study provided us with the motivation to expand the faculty and dedicate these new resources primarily to a f</w:t>
      </w:r>
      <w:r w:rsidR="00805245">
        <w:rPr>
          <w:sz w:val="24"/>
          <w:szCs w:val="24"/>
        </w:rPr>
        <w:t xml:space="preserve">irst-year seminar requirement. </w:t>
      </w:r>
      <w:r>
        <w:rPr>
          <w:sz w:val="24"/>
          <w:szCs w:val="24"/>
        </w:rPr>
        <w:t xml:space="preserve">Over the years, </w:t>
      </w:r>
      <w:r w:rsidR="001522BF">
        <w:rPr>
          <w:sz w:val="24"/>
          <w:szCs w:val="24"/>
        </w:rPr>
        <w:t>due</w:t>
      </w:r>
      <w:r>
        <w:rPr>
          <w:sz w:val="24"/>
          <w:szCs w:val="24"/>
        </w:rPr>
        <w:t xml:space="preserve"> in good measure to</w:t>
      </w:r>
      <w:r w:rsidR="00F24DBF">
        <w:rPr>
          <w:sz w:val="24"/>
          <w:szCs w:val="24"/>
        </w:rPr>
        <w:t xml:space="preserve"> the </w:t>
      </w:r>
      <w:r w:rsidR="001522BF">
        <w:rPr>
          <w:sz w:val="24"/>
          <w:szCs w:val="24"/>
        </w:rPr>
        <w:t>support</w:t>
      </w:r>
      <w:r w:rsidR="00F24DBF">
        <w:rPr>
          <w:sz w:val="24"/>
          <w:szCs w:val="24"/>
        </w:rPr>
        <w:t xml:space="preserve"> of </w:t>
      </w:r>
      <w:r>
        <w:rPr>
          <w:sz w:val="24"/>
          <w:szCs w:val="24"/>
        </w:rPr>
        <w:t xml:space="preserve">the Mellon Foundation, we have also been able to expand </w:t>
      </w:r>
      <w:r w:rsidR="00AD7CFD">
        <w:rPr>
          <w:sz w:val="24"/>
          <w:szCs w:val="24"/>
        </w:rPr>
        <w:t xml:space="preserve">dramatically </w:t>
      </w:r>
      <w:r>
        <w:rPr>
          <w:sz w:val="24"/>
          <w:szCs w:val="24"/>
        </w:rPr>
        <w:t>the number of research experiences available to our students as well as to extend them across all of our disciplines and across all four years of the curriculum.</w:t>
      </w:r>
    </w:p>
    <w:p w:rsidR="00EA6B30" w:rsidRDefault="00EA6B30" w:rsidP="00EA6B30">
      <w:pPr>
        <w:rPr>
          <w:sz w:val="24"/>
          <w:szCs w:val="24"/>
        </w:rPr>
      </w:pPr>
    </w:p>
    <w:p w:rsidR="00EA6B30" w:rsidRDefault="00EA6B30" w:rsidP="00EA6B30">
      <w:pPr>
        <w:rPr>
          <w:sz w:val="24"/>
          <w:szCs w:val="24"/>
        </w:rPr>
      </w:pPr>
      <w:r>
        <w:rPr>
          <w:sz w:val="24"/>
          <w:szCs w:val="24"/>
        </w:rPr>
        <w:t>A gulf has emerged, then, between the subject-based general curriculum that we have had since 1995 and the commitment to research</w:t>
      </w:r>
      <w:r w:rsidR="00BD6073">
        <w:rPr>
          <w:sz w:val="24"/>
          <w:szCs w:val="24"/>
        </w:rPr>
        <w:t>-</w:t>
      </w:r>
      <w:r>
        <w:rPr>
          <w:sz w:val="24"/>
          <w:szCs w:val="24"/>
        </w:rPr>
        <w:t xml:space="preserve"> and inquiry-based education that has been gro</w:t>
      </w:r>
      <w:r w:rsidR="00805245">
        <w:rPr>
          <w:sz w:val="24"/>
          <w:szCs w:val="24"/>
        </w:rPr>
        <w:t xml:space="preserve">wing on campus over the years. </w:t>
      </w:r>
      <w:r>
        <w:rPr>
          <w:sz w:val="24"/>
          <w:szCs w:val="24"/>
        </w:rPr>
        <w:t>Our new curriculum strikes a balance that better reflects our current sensibilities, while honoring the dynamic tension between substantive distribution and inquiry that characte</w:t>
      </w:r>
      <w:r w:rsidR="00805245">
        <w:rPr>
          <w:sz w:val="24"/>
          <w:szCs w:val="24"/>
        </w:rPr>
        <w:t xml:space="preserve">rized the classical tradition. </w:t>
      </w:r>
      <w:r>
        <w:rPr>
          <w:sz w:val="24"/>
          <w:szCs w:val="24"/>
        </w:rPr>
        <w:t>This balance is tipped toward inquiry in the first- and fo</w:t>
      </w:r>
      <w:r w:rsidR="00AD7CFD">
        <w:rPr>
          <w:sz w:val="24"/>
          <w:szCs w:val="24"/>
        </w:rPr>
        <w:t>u</w:t>
      </w:r>
      <w:r>
        <w:rPr>
          <w:sz w:val="24"/>
          <w:szCs w:val="24"/>
        </w:rPr>
        <w:t xml:space="preserve">rth-year components of the curriculum, while it favors subject-matter distribution in the second </w:t>
      </w:r>
      <w:r w:rsidR="00805245">
        <w:rPr>
          <w:sz w:val="24"/>
          <w:szCs w:val="24"/>
        </w:rPr>
        <w:lastRenderedPageBreak/>
        <w:t xml:space="preserve">year. </w:t>
      </w:r>
      <w:r>
        <w:rPr>
          <w:sz w:val="24"/>
          <w:szCs w:val="24"/>
        </w:rPr>
        <w:t xml:space="preserve">The third-year focus on global and cross-cultural </w:t>
      </w:r>
      <w:r w:rsidRPr="00DC6C15">
        <w:rPr>
          <w:sz w:val="24"/>
          <w:szCs w:val="24"/>
        </w:rPr>
        <w:t xml:space="preserve">courses strikes a </w:t>
      </w:r>
      <w:r w:rsidR="00DC6C15" w:rsidRPr="00DC6C15">
        <w:rPr>
          <w:sz w:val="24"/>
          <w:szCs w:val="24"/>
        </w:rPr>
        <w:t>ca</w:t>
      </w:r>
      <w:r w:rsidR="00805245">
        <w:rPr>
          <w:sz w:val="24"/>
          <w:szCs w:val="24"/>
        </w:rPr>
        <w:t xml:space="preserve">reful balance between the two. </w:t>
      </w:r>
      <w:r w:rsidR="00DC6C15" w:rsidRPr="00DC6C15">
        <w:rPr>
          <w:sz w:val="24"/>
          <w:szCs w:val="24"/>
        </w:rPr>
        <w:t>I</w:t>
      </w:r>
      <w:r w:rsidRPr="00DC6C15">
        <w:rPr>
          <w:sz w:val="24"/>
          <w:szCs w:val="24"/>
        </w:rPr>
        <w:t xml:space="preserve">t embraces the importance </w:t>
      </w:r>
      <w:r>
        <w:rPr>
          <w:sz w:val="24"/>
          <w:szCs w:val="24"/>
        </w:rPr>
        <w:t xml:space="preserve">of giving students a solid knowledge base about the rest of the world, especially when it is added to the language proficiency that we will </w:t>
      </w:r>
      <w:r w:rsidR="00AD7CFD">
        <w:rPr>
          <w:sz w:val="24"/>
          <w:szCs w:val="24"/>
        </w:rPr>
        <w:t>require</w:t>
      </w:r>
      <w:r w:rsidR="00805245">
        <w:rPr>
          <w:sz w:val="24"/>
          <w:szCs w:val="24"/>
        </w:rPr>
        <w:t xml:space="preserve"> of students. </w:t>
      </w:r>
      <w:r>
        <w:rPr>
          <w:sz w:val="24"/>
          <w:szCs w:val="24"/>
        </w:rPr>
        <w:t>But</w:t>
      </w:r>
      <w:r w:rsidR="00AD7CFD">
        <w:rPr>
          <w:sz w:val="24"/>
          <w:szCs w:val="24"/>
        </w:rPr>
        <w:t>,</w:t>
      </w:r>
      <w:r>
        <w:rPr>
          <w:sz w:val="24"/>
          <w:szCs w:val="24"/>
        </w:rPr>
        <w:t xml:space="preserve"> it will also enrich students’ ability to think critically and increase understanding in a context where there are radically different points of view.</w:t>
      </w:r>
    </w:p>
    <w:p w:rsidR="00EA6B30" w:rsidRDefault="00EA6B30" w:rsidP="00EA6B30">
      <w:pPr>
        <w:rPr>
          <w:sz w:val="24"/>
          <w:szCs w:val="24"/>
        </w:rPr>
      </w:pPr>
    </w:p>
    <w:p w:rsidR="00EA6B30" w:rsidRDefault="00EA6B30" w:rsidP="00EA6B30">
      <w:pPr>
        <w:rPr>
          <w:sz w:val="24"/>
          <w:szCs w:val="24"/>
        </w:rPr>
      </w:pPr>
      <w:r>
        <w:rPr>
          <w:sz w:val="24"/>
          <w:szCs w:val="24"/>
        </w:rPr>
        <w:t xml:space="preserve">While our students will take courses across three domains of knowledge, the day has passed when our faculty </w:t>
      </w:r>
      <w:r w:rsidR="00AD7CFD">
        <w:rPr>
          <w:sz w:val="24"/>
          <w:szCs w:val="24"/>
        </w:rPr>
        <w:t>is</w:t>
      </w:r>
      <w:r>
        <w:rPr>
          <w:sz w:val="24"/>
          <w:szCs w:val="24"/>
        </w:rPr>
        <w:t xml:space="preserve"> satisfied with a curriculum that require</w:t>
      </w:r>
      <w:r w:rsidR="00AD7CFD">
        <w:rPr>
          <w:sz w:val="24"/>
          <w:szCs w:val="24"/>
        </w:rPr>
        <w:t>s</w:t>
      </w:r>
      <w:r>
        <w:rPr>
          <w:sz w:val="24"/>
          <w:szCs w:val="24"/>
        </w:rPr>
        <w:t xml:space="preserve"> students to be passive consumers of static knowledge in a series of subject-based</w:t>
      </w:r>
      <w:r w:rsidR="00805245">
        <w:rPr>
          <w:sz w:val="24"/>
          <w:szCs w:val="24"/>
        </w:rPr>
        <w:t xml:space="preserve"> introductory lecture courses. </w:t>
      </w:r>
      <w:r>
        <w:rPr>
          <w:sz w:val="24"/>
          <w:szCs w:val="24"/>
        </w:rPr>
        <w:t>The new curriculum will provide distribution in the context of an emphasis on inquiry and research, rather than at their expense.</w:t>
      </w:r>
    </w:p>
    <w:p w:rsidR="00C15F97" w:rsidRPr="005853E5" w:rsidRDefault="00C15F97">
      <w:pPr>
        <w:rPr>
          <w:sz w:val="24"/>
          <w:szCs w:val="24"/>
        </w:rPr>
      </w:pPr>
    </w:p>
    <w:p w:rsidR="00C15F97" w:rsidRDefault="00B95141" w:rsidP="003A7279">
      <w:pPr>
        <w:rPr>
          <w:sz w:val="24"/>
          <w:szCs w:val="24"/>
        </w:rPr>
      </w:pPr>
      <w:r>
        <w:rPr>
          <w:b/>
          <w:bCs/>
          <w:sz w:val="24"/>
          <w:szCs w:val="24"/>
        </w:rPr>
        <w:t>The Implementation of the New Curriculum</w:t>
      </w:r>
    </w:p>
    <w:p w:rsidR="00C15F97" w:rsidRDefault="00C15F97">
      <w:pPr>
        <w:rPr>
          <w:sz w:val="24"/>
          <w:szCs w:val="24"/>
        </w:rPr>
      </w:pPr>
    </w:p>
    <w:p w:rsidR="00162014" w:rsidRPr="00752AD9" w:rsidRDefault="00B95141">
      <w:pPr>
        <w:rPr>
          <w:color w:val="FF0000"/>
          <w:sz w:val="24"/>
          <w:szCs w:val="24"/>
        </w:rPr>
      </w:pPr>
      <w:r>
        <w:rPr>
          <w:sz w:val="24"/>
          <w:szCs w:val="24"/>
        </w:rPr>
        <w:t xml:space="preserve">To implement </w:t>
      </w:r>
      <w:r w:rsidRPr="008B544C">
        <w:rPr>
          <w:sz w:val="24"/>
          <w:szCs w:val="24"/>
        </w:rPr>
        <w:t>our new curriculum</w:t>
      </w:r>
      <w:r w:rsidR="000A199E" w:rsidRPr="008B544C">
        <w:rPr>
          <w:sz w:val="24"/>
          <w:szCs w:val="24"/>
        </w:rPr>
        <w:t xml:space="preserve"> on an accelerated timetable, we need resources </w:t>
      </w:r>
      <w:r w:rsidR="00162014" w:rsidRPr="008B544C">
        <w:rPr>
          <w:sz w:val="24"/>
          <w:szCs w:val="24"/>
        </w:rPr>
        <w:t>to enable</w:t>
      </w:r>
      <w:r w:rsidR="000A199E" w:rsidRPr="008B544C">
        <w:rPr>
          <w:sz w:val="24"/>
          <w:szCs w:val="24"/>
        </w:rPr>
        <w:t xml:space="preserve"> faculty and staff </w:t>
      </w:r>
      <w:r w:rsidRPr="008B544C">
        <w:rPr>
          <w:sz w:val="24"/>
          <w:szCs w:val="24"/>
        </w:rPr>
        <w:t>to develop</w:t>
      </w:r>
      <w:r w:rsidR="00162014" w:rsidRPr="008B544C">
        <w:rPr>
          <w:sz w:val="24"/>
          <w:szCs w:val="24"/>
        </w:rPr>
        <w:t xml:space="preserve"> and support </w:t>
      </w:r>
      <w:r w:rsidRPr="008B544C">
        <w:rPr>
          <w:sz w:val="24"/>
          <w:szCs w:val="24"/>
        </w:rPr>
        <w:t xml:space="preserve">new courses at all </w:t>
      </w:r>
      <w:r w:rsidR="00805245">
        <w:rPr>
          <w:sz w:val="24"/>
          <w:szCs w:val="24"/>
        </w:rPr>
        <w:t xml:space="preserve">four levels of the curriculum. </w:t>
      </w:r>
      <w:r w:rsidR="00162014" w:rsidRPr="008B544C">
        <w:rPr>
          <w:sz w:val="24"/>
          <w:szCs w:val="24"/>
        </w:rPr>
        <w:t>These start-up resources</w:t>
      </w:r>
      <w:r w:rsidR="00752AD9" w:rsidRPr="008B544C">
        <w:rPr>
          <w:sz w:val="24"/>
          <w:szCs w:val="24"/>
        </w:rPr>
        <w:t xml:space="preserve"> will support</w:t>
      </w:r>
      <w:r w:rsidR="00162014" w:rsidRPr="008B544C">
        <w:rPr>
          <w:sz w:val="24"/>
          <w:szCs w:val="24"/>
        </w:rPr>
        <w:t xml:space="preserve"> faculty positions, staff positions, and funding for faculty development as well as </w:t>
      </w:r>
      <w:r w:rsidR="00752AD9" w:rsidRPr="008B544C">
        <w:rPr>
          <w:sz w:val="24"/>
          <w:szCs w:val="24"/>
        </w:rPr>
        <w:t xml:space="preserve">for </w:t>
      </w:r>
      <w:r w:rsidR="00162014" w:rsidRPr="008B544C">
        <w:rPr>
          <w:sz w:val="24"/>
          <w:szCs w:val="24"/>
        </w:rPr>
        <w:t>th</w:t>
      </w:r>
      <w:r w:rsidR="00805245">
        <w:rPr>
          <w:sz w:val="24"/>
          <w:szCs w:val="24"/>
        </w:rPr>
        <w:t xml:space="preserve">e creation of two new Centers. </w:t>
      </w:r>
      <w:r w:rsidR="000A199E" w:rsidRPr="008B544C">
        <w:rPr>
          <w:sz w:val="24"/>
          <w:szCs w:val="24"/>
        </w:rPr>
        <w:t xml:space="preserve">We are </w:t>
      </w:r>
      <w:r w:rsidR="000D6BFB" w:rsidRPr="008B544C">
        <w:rPr>
          <w:sz w:val="24"/>
          <w:szCs w:val="24"/>
        </w:rPr>
        <w:t>requesting</w:t>
      </w:r>
      <w:r w:rsidR="000A199E" w:rsidRPr="008B544C">
        <w:rPr>
          <w:sz w:val="24"/>
          <w:szCs w:val="24"/>
        </w:rPr>
        <w:t xml:space="preserve"> </w:t>
      </w:r>
      <w:r w:rsidR="00752AD9" w:rsidRPr="008B544C">
        <w:rPr>
          <w:sz w:val="24"/>
          <w:szCs w:val="24"/>
        </w:rPr>
        <w:t xml:space="preserve">that </w:t>
      </w:r>
      <w:r w:rsidR="000A199E" w:rsidRPr="008B544C">
        <w:rPr>
          <w:sz w:val="24"/>
          <w:szCs w:val="24"/>
        </w:rPr>
        <w:t>the Mellon Foundation</w:t>
      </w:r>
      <w:r w:rsidR="00752AD9" w:rsidRPr="008B544C">
        <w:rPr>
          <w:sz w:val="24"/>
          <w:szCs w:val="24"/>
        </w:rPr>
        <w:t xml:space="preserve"> make an </w:t>
      </w:r>
      <w:r w:rsidR="000A199E" w:rsidRPr="008B544C">
        <w:rPr>
          <w:sz w:val="24"/>
          <w:szCs w:val="24"/>
        </w:rPr>
        <w:t>investment in this effort</w:t>
      </w:r>
      <w:r w:rsidR="00752AD9" w:rsidRPr="008B544C">
        <w:rPr>
          <w:sz w:val="24"/>
          <w:szCs w:val="24"/>
        </w:rPr>
        <w:t xml:space="preserve"> to add to the </w:t>
      </w:r>
      <w:r w:rsidR="000A199E" w:rsidRPr="008B544C">
        <w:rPr>
          <w:sz w:val="24"/>
          <w:szCs w:val="24"/>
        </w:rPr>
        <w:t>major institutional</w:t>
      </w:r>
      <w:r w:rsidR="00752AD9" w:rsidRPr="008B544C">
        <w:rPr>
          <w:sz w:val="24"/>
          <w:szCs w:val="24"/>
        </w:rPr>
        <w:t xml:space="preserve"> commitment that William &amp; Mary</w:t>
      </w:r>
      <w:r w:rsidR="003723FC">
        <w:rPr>
          <w:sz w:val="24"/>
          <w:szCs w:val="24"/>
        </w:rPr>
        <w:t xml:space="preserve"> has made</w:t>
      </w:r>
      <w:r w:rsidR="00752AD9" w:rsidRPr="008B544C">
        <w:rPr>
          <w:sz w:val="24"/>
          <w:szCs w:val="24"/>
        </w:rPr>
        <w:t xml:space="preserve"> to</w:t>
      </w:r>
      <w:r w:rsidR="000A199E" w:rsidRPr="008B544C">
        <w:rPr>
          <w:sz w:val="24"/>
          <w:szCs w:val="24"/>
        </w:rPr>
        <w:t xml:space="preserve"> the </w:t>
      </w:r>
      <w:r w:rsidR="00752AD9" w:rsidRPr="008B544C">
        <w:rPr>
          <w:sz w:val="24"/>
          <w:szCs w:val="24"/>
        </w:rPr>
        <w:t xml:space="preserve">implementation of the </w:t>
      </w:r>
      <w:r w:rsidR="000A199E" w:rsidRPr="008B544C">
        <w:rPr>
          <w:sz w:val="24"/>
          <w:szCs w:val="24"/>
        </w:rPr>
        <w:t>new curriculum</w:t>
      </w:r>
      <w:r w:rsidR="00752AD9" w:rsidRPr="008B544C">
        <w:rPr>
          <w:sz w:val="24"/>
          <w:szCs w:val="24"/>
        </w:rPr>
        <w:t>.</w:t>
      </w:r>
    </w:p>
    <w:p w:rsidR="00162014" w:rsidRDefault="00162014">
      <w:pPr>
        <w:rPr>
          <w:sz w:val="24"/>
          <w:szCs w:val="24"/>
        </w:rPr>
      </w:pPr>
    </w:p>
    <w:p w:rsidR="00C15F97" w:rsidRDefault="00B95141">
      <w:pPr>
        <w:rPr>
          <w:sz w:val="24"/>
          <w:szCs w:val="24"/>
        </w:rPr>
      </w:pPr>
      <w:r>
        <w:rPr>
          <w:sz w:val="24"/>
          <w:szCs w:val="24"/>
        </w:rPr>
        <w:t>Of course, teaching resources will be freed up w</w:t>
      </w:r>
      <w:r w:rsidR="00805245">
        <w:rPr>
          <w:sz w:val="24"/>
          <w:szCs w:val="24"/>
        </w:rPr>
        <w:t xml:space="preserve">hen we end our old curriculum. </w:t>
      </w:r>
      <w:r>
        <w:rPr>
          <w:sz w:val="24"/>
          <w:szCs w:val="24"/>
        </w:rPr>
        <w:t xml:space="preserve">However, most of the courses that have been fulfilling general education requirements have been courses that were designed primarily to meet major requirements </w:t>
      </w:r>
      <w:r w:rsidR="00FE326A">
        <w:rPr>
          <w:sz w:val="24"/>
          <w:szCs w:val="24"/>
        </w:rPr>
        <w:t xml:space="preserve">and </w:t>
      </w:r>
      <w:r>
        <w:rPr>
          <w:sz w:val="24"/>
          <w:szCs w:val="24"/>
        </w:rPr>
        <w:t>that have also, almost incidentally, been taken by non-majors to m</w:t>
      </w:r>
      <w:r w:rsidR="00805245">
        <w:rPr>
          <w:sz w:val="24"/>
          <w:szCs w:val="24"/>
        </w:rPr>
        <w:t xml:space="preserve">eet distribution requirements. </w:t>
      </w:r>
      <w:r>
        <w:rPr>
          <w:sz w:val="24"/>
          <w:szCs w:val="24"/>
        </w:rPr>
        <w:t>We will need fewer sections of some of these</w:t>
      </w:r>
      <w:r w:rsidR="002212ED">
        <w:rPr>
          <w:sz w:val="24"/>
          <w:szCs w:val="24"/>
        </w:rPr>
        <w:t xml:space="preserve"> courses</w:t>
      </w:r>
      <w:r>
        <w:rPr>
          <w:sz w:val="24"/>
          <w:szCs w:val="24"/>
        </w:rPr>
        <w:t xml:space="preserve">, but our analysis </w:t>
      </w:r>
      <w:r w:rsidRPr="008B544C">
        <w:rPr>
          <w:sz w:val="24"/>
          <w:szCs w:val="24"/>
        </w:rPr>
        <w:t>confirms that the new curriculum will create shortfalls and bottle-nec</w:t>
      </w:r>
      <w:r w:rsidR="00752AD9" w:rsidRPr="008B544C">
        <w:rPr>
          <w:sz w:val="24"/>
          <w:szCs w:val="24"/>
        </w:rPr>
        <w:t>ks, especially at the 100- and 4</w:t>
      </w:r>
      <w:r w:rsidRPr="008B544C">
        <w:rPr>
          <w:sz w:val="24"/>
          <w:szCs w:val="24"/>
        </w:rPr>
        <w:t>00- level</w:t>
      </w:r>
      <w:r w:rsidRPr="005018F9">
        <w:rPr>
          <w:sz w:val="24"/>
          <w:szCs w:val="24"/>
        </w:rPr>
        <w:t xml:space="preserve">s, </w:t>
      </w:r>
      <w:r>
        <w:rPr>
          <w:sz w:val="24"/>
          <w:szCs w:val="24"/>
        </w:rPr>
        <w:t>and</w:t>
      </w:r>
      <w:r w:rsidR="008E73E2">
        <w:rPr>
          <w:sz w:val="24"/>
          <w:szCs w:val="24"/>
        </w:rPr>
        <w:t>,</w:t>
      </w:r>
      <w:r>
        <w:rPr>
          <w:sz w:val="24"/>
          <w:szCs w:val="24"/>
        </w:rPr>
        <w:t xml:space="preserve"> to address them</w:t>
      </w:r>
      <w:r w:rsidR="008E73E2">
        <w:rPr>
          <w:sz w:val="24"/>
          <w:szCs w:val="24"/>
        </w:rPr>
        <w:t>,</w:t>
      </w:r>
      <w:r>
        <w:rPr>
          <w:sz w:val="24"/>
          <w:szCs w:val="24"/>
        </w:rPr>
        <w:t xml:space="preserve"> we will have to add instructional positions in several departments.</w:t>
      </w:r>
      <w:r w:rsidR="00805245">
        <w:rPr>
          <w:sz w:val="24"/>
          <w:szCs w:val="24"/>
        </w:rPr>
        <w:t xml:space="preserve"> </w:t>
      </w:r>
      <w:r w:rsidR="00CA4ACB">
        <w:rPr>
          <w:sz w:val="24"/>
          <w:szCs w:val="24"/>
        </w:rPr>
        <w:t xml:space="preserve">The instructional positions in </w:t>
      </w:r>
      <w:r w:rsidR="003102FD">
        <w:rPr>
          <w:sz w:val="24"/>
          <w:szCs w:val="24"/>
        </w:rPr>
        <w:t xml:space="preserve">the attached </w:t>
      </w:r>
      <w:r w:rsidR="00CA4ACB">
        <w:rPr>
          <w:sz w:val="24"/>
          <w:szCs w:val="24"/>
        </w:rPr>
        <w:t>budget are specifically targeted to addressing these shortfalls.</w:t>
      </w:r>
      <w:r>
        <w:rPr>
          <w:sz w:val="24"/>
          <w:szCs w:val="24"/>
        </w:rPr>
        <w:t xml:space="preserve">           </w:t>
      </w:r>
    </w:p>
    <w:p w:rsidR="00C15F97" w:rsidRDefault="00C15F97">
      <w:pPr>
        <w:rPr>
          <w:sz w:val="24"/>
          <w:szCs w:val="24"/>
        </w:rPr>
      </w:pPr>
    </w:p>
    <w:p w:rsidR="00C15F97" w:rsidRDefault="005018F9">
      <w:pPr>
        <w:rPr>
          <w:sz w:val="24"/>
          <w:szCs w:val="24"/>
        </w:rPr>
      </w:pPr>
      <w:r w:rsidRPr="004C511B">
        <w:rPr>
          <w:sz w:val="24"/>
          <w:szCs w:val="24"/>
        </w:rPr>
        <w:t>The</w:t>
      </w:r>
      <w:r w:rsidR="000A26BA" w:rsidRPr="004C511B">
        <w:rPr>
          <w:sz w:val="24"/>
          <w:szCs w:val="24"/>
        </w:rPr>
        <w:t xml:space="preserve"> </w:t>
      </w:r>
      <w:r w:rsidR="00693B63" w:rsidRPr="004C511B">
        <w:rPr>
          <w:sz w:val="24"/>
          <w:szCs w:val="24"/>
        </w:rPr>
        <w:t xml:space="preserve">creation of the </w:t>
      </w:r>
      <w:r w:rsidR="000A26BA" w:rsidRPr="004C511B">
        <w:rPr>
          <w:sz w:val="24"/>
          <w:szCs w:val="24"/>
        </w:rPr>
        <w:t>two new C</w:t>
      </w:r>
      <w:r w:rsidR="00B95141" w:rsidRPr="004C511B">
        <w:rPr>
          <w:sz w:val="24"/>
          <w:szCs w:val="24"/>
        </w:rPr>
        <w:t xml:space="preserve">enters </w:t>
      </w:r>
      <w:r w:rsidR="000A199E" w:rsidRPr="004C511B">
        <w:rPr>
          <w:sz w:val="24"/>
          <w:szCs w:val="24"/>
        </w:rPr>
        <w:t xml:space="preserve">will enable us to implement the new curriculum </w:t>
      </w:r>
      <w:r w:rsidR="00890B97">
        <w:rPr>
          <w:sz w:val="24"/>
          <w:szCs w:val="24"/>
        </w:rPr>
        <w:t>over four years</w:t>
      </w:r>
      <w:r w:rsidR="000A199E" w:rsidRPr="004C511B">
        <w:rPr>
          <w:sz w:val="24"/>
          <w:szCs w:val="24"/>
        </w:rPr>
        <w:t xml:space="preserve"> and </w:t>
      </w:r>
      <w:r w:rsidR="00B95141" w:rsidRPr="004C511B">
        <w:rPr>
          <w:sz w:val="24"/>
          <w:szCs w:val="24"/>
        </w:rPr>
        <w:t>will provide a critical infrastructure to support the objectives of the new curriculum</w:t>
      </w:r>
      <w:r w:rsidR="000A199E" w:rsidRPr="004C511B">
        <w:rPr>
          <w:sz w:val="24"/>
          <w:szCs w:val="24"/>
        </w:rPr>
        <w:t xml:space="preserve"> in the initial start-up phase and beyond</w:t>
      </w:r>
      <w:r w:rsidR="00805245">
        <w:rPr>
          <w:sz w:val="24"/>
          <w:szCs w:val="24"/>
        </w:rPr>
        <w:t xml:space="preserve">. </w:t>
      </w:r>
      <w:r w:rsidR="000A199E">
        <w:rPr>
          <w:sz w:val="24"/>
          <w:szCs w:val="24"/>
        </w:rPr>
        <w:t xml:space="preserve">We seek private support to </w:t>
      </w:r>
      <w:r w:rsidR="002212ED">
        <w:rPr>
          <w:sz w:val="24"/>
          <w:szCs w:val="24"/>
        </w:rPr>
        <w:t>launch</w:t>
      </w:r>
      <w:r w:rsidR="00B95141">
        <w:rPr>
          <w:sz w:val="24"/>
          <w:szCs w:val="24"/>
        </w:rPr>
        <w:t xml:space="preserve"> these </w:t>
      </w:r>
      <w:r w:rsidR="007569A0">
        <w:rPr>
          <w:sz w:val="24"/>
          <w:szCs w:val="24"/>
        </w:rPr>
        <w:t>C</w:t>
      </w:r>
      <w:r w:rsidR="00B95141">
        <w:rPr>
          <w:sz w:val="24"/>
          <w:szCs w:val="24"/>
        </w:rPr>
        <w:t>enters on an accelerated timetable, side-by-side with the implementation of the curriculum itself.</w:t>
      </w:r>
    </w:p>
    <w:p w:rsidR="00C15F97" w:rsidRDefault="00C15F97">
      <w:pPr>
        <w:rPr>
          <w:sz w:val="24"/>
          <w:szCs w:val="24"/>
        </w:rPr>
      </w:pPr>
    </w:p>
    <w:p w:rsidR="00954246" w:rsidRDefault="00954246">
      <w:pPr>
        <w:rPr>
          <w:sz w:val="24"/>
          <w:szCs w:val="24"/>
        </w:rPr>
      </w:pPr>
    </w:p>
    <w:p w:rsidR="00C15F97" w:rsidRDefault="00B95141" w:rsidP="003A7279">
      <w:pPr>
        <w:jc w:val="center"/>
        <w:rPr>
          <w:b/>
          <w:bCs/>
          <w:sz w:val="24"/>
          <w:szCs w:val="24"/>
        </w:rPr>
      </w:pPr>
      <w:r>
        <w:rPr>
          <w:b/>
          <w:bCs/>
          <w:sz w:val="24"/>
          <w:szCs w:val="24"/>
        </w:rPr>
        <w:t>The Center for the Liberal Arts</w:t>
      </w:r>
    </w:p>
    <w:p w:rsidR="002212ED" w:rsidRDefault="002212ED">
      <w:pPr>
        <w:rPr>
          <w:b/>
          <w:bCs/>
          <w:sz w:val="24"/>
          <w:szCs w:val="24"/>
        </w:rPr>
      </w:pPr>
    </w:p>
    <w:p w:rsidR="004704C6" w:rsidRDefault="004704C6" w:rsidP="004704C6">
      <w:pPr>
        <w:rPr>
          <w:sz w:val="24"/>
          <w:szCs w:val="24"/>
        </w:rPr>
      </w:pPr>
      <w:r>
        <w:rPr>
          <w:sz w:val="24"/>
          <w:szCs w:val="24"/>
        </w:rPr>
        <w:t xml:space="preserve">Unlike most of the courses that fulfill general requirements now at the College, our new system of College Courses is intended to deliver true </w:t>
      </w:r>
      <w:r>
        <w:rPr>
          <w:i/>
          <w:iCs/>
          <w:sz w:val="24"/>
          <w:szCs w:val="24"/>
        </w:rPr>
        <w:t>public goods</w:t>
      </w:r>
      <w:r>
        <w:rPr>
          <w:sz w:val="24"/>
          <w:szCs w:val="24"/>
        </w:rPr>
        <w:t>, owned by the Faculty of Arts &amp; Sciences as a whole, not b</w:t>
      </w:r>
      <w:r w:rsidR="00805245">
        <w:rPr>
          <w:sz w:val="24"/>
          <w:szCs w:val="24"/>
        </w:rPr>
        <w:t xml:space="preserve">y its constituent departments. </w:t>
      </w:r>
      <w:r>
        <w:rPr>
          <w:sz w:val="24"/>
          <w:szCs w:val="24"/>
        </w:rPr>
        <w:t xml:space="preserve">We know from experience that it will not be easy to build </w:t>
      </w:r>
      <w:r w:rsidRPr="00965FE5">
        <w:rPr>
          <w:sz w:val="24"/>
          <w:szCs w:val="24"/>
        </w:rPr>
        <w:t>and sustain a curriculum that fully meets, and continues to meet over time, t</w:t>
      </w:r>
      <w:r w:rsidR="006932EB" w:rsidRPr="00965FE5">
        <w:rPr>
          <w:sz w:val="24"/>
          <w:szCs w:val="24"/>
        </w:rPr>
        <w:t xml:space="preserve">he criteria that our </w:t>
      </w:r>
      <w:proofErr w:type="gramStart"/>
      <w:r w:rsidR="006932EB" w:rsidRPr="00965FE5">
        <w:rPr>
          <w:sz w:val="24"/>
          <w:szCs w:val="24"/>
        </w:rPr>
        <w:t>faculty have</w:t>
      </w:r>
      <w:proofErr w:type="gramEnd"/>
      <w:r w:rsidRPr="00965FE5">
        <w:rPr>
          <w:sz w:val="24"/>
          <w:szCs w:val="24"/>
        </w:rPr>
        <w:t xml:space="preserve"> </w:t>
      </w:r>
      <w:r w:rsidR="00805245">
        <w:rPr>
          <w:sz w:val="24"/>
          <w:szCs w:val="24"/>
        </w:rPr>
        <w:t xml:space="preserve">recently endorsed. </w:t>
      </w:r>
      <w:r>
        <w:rPr>
          <w:sz w:val="24"/>
          <w:szCs w:val="24"/>
        </w:rPr>
        <w:t>Departments are strong and considerably independent at William &amp; Mary, as they are a</w:t>
      </w:r>
      <w:r w:rsidR="00805245">
        <w:rPr>
          <w:sz w:val="24"/>
          <w:szCs w:val="24"/>
        </w:rPr>
        <w:t xml:space="preserve">t most excellent universities. </w:t>
      </w:r>
      <w:r>
        <w:rPr>
          <w:sz w:val="24"/>
          <w:szCs w:val="24"/>
        </w:rPr>
        <w:t>Courses intended to serve general education goals can easily be subverted to t</w:t>
      </w:r>
      <w:r w:rsidR="00805245">
        <w:rPr>
          <w:sz w:val="24"/>
          <w:szCs w:val="24"/>
        </w:rPr>
        <w:t xml:space="preserve">he particular needs of majors. </w:t>
      </w:r>
      <w:r>
        <w:rPr>
          <w:sz w:val="24"/>
          <w:szCs w:val="24"/>
        </w:rPr>
        <w:t xml:space="preserve">This is certainly the lesson that we have learned over the past two decades with our current curriculum.  </w:t>
      </w:r>
    </w:p>
    <w:p w:rsidR="004704C6" w:rsidRDefault="004704C6">
      <w:pPr>
        <w:rPr>
          <w:sz w:val="24"/>
          <w:szCs w:val="24"/>
        </w:rPr>
      </w:pPr>
    </w:p>
    <w:p w:rsidR="00C15F97" w:rsidRDefault="00B95141">
      <w:pPr>
        <w:rPr>
          <w:sz w:val="24"/>
          <w:szCs w:val="24"/>
        </w:rPr>
      </w:pPr>
      <w:r w:rsidRPr="00965FE5">
        <w:rPr>
          <w:sz w:val="24"/>
          <w:szCs w:val="24"/>
        </w:rPr>
        <w:t xml:space="preserve">As a means to </w:t>
      </w:r>
      <w:r w:rsidR="008415F1" w:rsidRPr="00965FE5">
        <w:rPr>
          <w:sz w:val="24"/>
          <w:szCs w:val="24"/>
        </w:rPr>
        <w:t>build and sustai</w:t>
      </w:r>
      <w:r w:rsidR="00995FFA" w:rsidRPr="00965FE5">
        <w:rPr>
          <w:sz w:val="24"/>
          <w:szCs w:val="24"/>
        </w:rPr>
        <w:t>n a curriculum that fully meets</w:t>
      </w:r>
      <w:r w:rsidR="008415F1" w:rsidRPr="00965FE5">
        <w:rPr>
          <w:sz w:val="24"/>
          <w:szCs w:val="24"/>
        </w:rPr>
        <w:t xml:space="preserve"> t</w:t>
      </w:r>
      <w:r w:rsidR="006932EB" w:rsidRPr="00965FE5">
        <w:rPr>
          <w:sz w:val="24"/>
          <w:szCs w:val="24"/>
        </w:rPr>
        <w:t xml:space="preserve">he criteria that our </w:t>
      </w:r>
      <w:proofErr w:type="gramStart"/>
      <w:r w:rsidR="006932EB" w:rsidRPr="00965FE5">
        <w:rPr>
          <w:sz w:val="24"/>
          <w:szCs w:val="24"/>
        </w:rPr>
        <w:t>faculty have</w:t>
      </w:r>
      <w:proofErr w:type="gramEnd"/>
      <w:r w:rsidR="008415F1" w:rsidRPr="00965FE5">
        <w:rPr>
          <w:sz w:val="24"/>
          <w:szCs w:val="24"/>
        </w:rPr>
        <w:t xml:space="preserve"> endorsed, </w:t>
      </w:r>
      <w:r w:rsidRPr="00965FE5">
        <w:rPr>
          <w:sz w:val="24"/>
          <w:szCs w:val="24"/>
        </w:rPr>
        <w:t>we are establishing a new Center for the Liberal Arts</w:t>
      </w:r>
      <w:r w:rsidR="000E32BB" w:rsidRPr="00965FE5">
        <w:rPr>
          <w:sz w:val="24"/>
          <w:szCs w:val="24"/>
        </w:rPr>
        <w:t xml:space="preserve"> (CLA)</w:t>
      </w:r>
      <w:r w:rsidR="00805245">
        <w:rPr>
          <w:sz w:val="24"/>
          <w:szCs w:val="24"/>
        </w:rPr>
        <w:t xml:space="preserve">. </w:t>
      </w:r>
      <w:r>
        <w:rPr>
          <w:sz w:val="24"/>
          <w:szCs w:val="24"/>
        </w:rPr>
        <w:t>At its core</w:t>
      </w:r>
      <w:r w:rsidR="000E32BB">
        <w:rPr>
          <w:sz w:val="24"/>
          <w:szCs w:val="24"/>
        </w:rPr>
        <w:t>, the CLA</w:t>
      </w:r>
      <w:r>
        <w:rPr>
          <w:sz w:val="24"/>
          <w:szCs w:val="24"/>
        </w:rPr>
        <w:t xml:space="preserve"> will be an independent committee of respected faculty fellows who will </w:t>
      </w:r>
      <w:r w:rsidR="00C617C9">
        <w:rPr>
          <w:sz w:val="24"/>
          <w:szCs w:val="24"/>
        </w:rPr>
        <w:t>work</w:t>
      </w:r>
      <w:r>
        <w:rPr>
          <w:sz w:val="24"/>
          <w:szCs w:val="24"/>
        </w:rPr>
        <w:t xml:space="preserve"> with our elected Educational Policy Committee to clarify the characteristics of College Courses</w:t>
      </w:r>
      <w:r w:rsidR="00C80D75">
        <w:rPr>
          <w:sz w:val="24"/>
          <w:szCs w:val="24"/>
        </w:rPr>
        <w:t xml:space="preserve">. </w:t>
      </w:r>
      <w:r w:rsidR="00C617C9">
        <w:rPr>
          <w:sz w:val="24"/>
          <w:szCs w:val="24"/>
        </w:rPr>
        <w:t>The CLA faculty fellows will conceive</w:t>
      </w:r>
      <w:r>
        <w:rPr>
          <w:sz w:val="24"/>
          <w:szCs w:val="24"/>
        </w:rPr>
        <w:t xml:space="preserve"> and conduct faculty development initiatives designed to maintain a vigorous commitment to the vision that animated the curriculum that our faculty passed </w:t>
      </w:r>
      <w:r w:rsidR="008415F1">
        <w:rPr>
          <w:sz w:val="24"/>
          <w:szCs w:val="24"/>
        </w:rPr>
        <w:t>in December</w:t>
      </w:r>
      <w:r>
        <w:rPr>
          <w:sz w:val="24"/>
          <w:szCs w:val="24"/>
        </w:rPr>
        <w:t xml:space="preserve">.  Fellows in the Center for the Liberal Arts will be drawn from all areas of our curriculum and appointed to </w:t>
      </w:r>
      <w:r w:rsidR="00303084">
        <w:rPr>
          <w:sz w:val="24"/>
          <w:szCs w:val="24"/>
        </w:rPr>
        <w:t>two</w:t>
      </w:r>
      <w:r>
        <w:rPr>
          <w:sz w:val="24"/>
          <w:szCs w:val="24"/>
        </w:rPr>
        <w:t>-year t</w:t>
      </w:r>
      <w:r w:rsidR="00C80D75">
        <w:rPr>
          <w:sz w:val="24"/>
          <w:szCs w:val="24"/>
        </w:rPr>
        <w:t xml:space="preserve">erms. </w:t>
      </w:r>
      <w:r w:rsidR="00484E4E">
        <w:rPr>
          <w:sz w:val="24"/>
          <w:szCs w:val="24"/>
        </w:rPr>
        <w:t>We are starting with four</w:t>
      </w:r>
      <w:r>
        <w:rPr>
          <w:sz w:val="24"/>
          <w:szCs w:val="24"/>
        </w:rPr>
        <w:t xml:space="preserve"> </w:t>
      </w:r>
      <w:r w:rsidR="00FB711E">
        <w:rPr>
          <w:sz w:val="24"/>
          <w:szCs w:val="24"/>
        </w:rPr>
        <w:t>f</w:t>
      </w:r>
      <w:r>
        <w:rPr>
          <w:sz w:val="24"/>
          <w:szCs w:val="24"/>
        </w:rPr>
        <w:t>ellows but plan to increase this number to twe</w:t>
      </w:r>
      <w:r w:rsidR="00C80D75">
        <w:rPr>
          <w:sz w:val="24"/>
          <w:szCs w:val="24"/>
        </w:rPr>
        <w:t xml:space="preserve">lve over the next three years. </w:t>
      </w:r>
      <w:r>
        <w:rPr>
          <w:sz w:val="24"/>
          <w:szCs w:val="24"/>
        </w:rPr>
        <w:t xml:space="preserve">We are funding this initiative </w:t>
      </w:r>
      <w:r w:rsidR="00111D85">
        <w:rPr>
          <w:sz w:val="24"/>
          <w:szCs w:val="24"/>
        </w:rPr>
        <w:t xml:space="preserve">with existing </w:t>
      </w:r>
      <w:r w:rsidR="004704C6">
        <w:rPr>
          <w:sz w:val="24"/>
          <w:szCs w:val="24"/>
        </w:rPr>
        <w:t xml:space="preserve">endowed </w:t>
      </w:r>
      <w:r w:rsidR="00111D85">
        <w:rPr>
          <w:sz w:val="24"/>
          <w:szCs w:val="24"/>
        </w:rPr>
        <w:t>professorships</w:t>
      </w:r>
      <w:r>
        <w:rPr>
          <w:sz w:val="24"/>
          <w:szCs w:val="24"/>
        </w:rPr>
        <w:t>, so we are not asking for Mellon Foundation assistance with this cost.</w:t>
      </w:r>
      <w:r w:rsidR="001C7820">
        <w:rPr>
          <w:sz w:val="24"/>
          <w:szCs w:val="24"/>
        </w:rPr>
        <w:t xml:space="preserve"> However, we are asking the Foundation to provide a share of the initial support for the Center’s administrator. </w:t>
      </w:r>
      <w:r>
        <w:rPr>
          <w:sz w:val="24"/>
          <w:szCs w:val="24"/>
        </w:rPr>
        <w:t xml:space="preserve">  </w:t>
      </w:r>
    </w:p>
    <w:p w:rsidR="004704C6" w:rsidRDefault="004704C6">
      <w:pPr>
        <w:rPr>
          <w:sz w:val="24"/>
          <w:szCs w:val="24"/>
        </w:rPr>
      </w:pPr>
    </w:p>
    <w:p w:rsidR="004704C6" w:rsidRDefault="004704C6" w:rsidP="004704C6">
      <w:pPr>
        <w:rPr>
          <w:sz w:val="24"/>
          <w:szCs w:val="24"/>
        </w:rPr>
      </w:pPr>
      <w:r>
        <w:rPr>
          <w:sz w:val="24"/>
          <w:szCs w:val="24"/>
        </w:rPr>
        <w:t xml:space="preserve">Departments are firmly institutionalized loci of decentralized power at William &amp; Mary; the Center for the Liberal Arts will counter-balance their impact by serving as an equally institutionalized seat of public authority over our general curriculum. </w:t>
      </w:r>
    </w:p>
    <w:p w:rsidR="00C15F97" w:rsidRDefault="00C15F97">
      <w:pPr>
        <w:rPr>
          <w:sz w:val="24"/>
          <w:szCs w:val="24"/>
        </w:rPr>
      </w:pPr>
    </w:p>
    <w:p w:rsidR="00954246" w:rsidRDefault="00954246">
      <w:pPr>
        <w:rPr>
          <w:sz w:val="24"/>
          <w:szCs w:val="24"/>
        </w:rPr>
      </w:pPr>
    </w:p>
    <w:p w:rsidR="00C15F97" w:rsidRDefault="00B95141" w:rsidP="003A7279">
      <w:pPr>
        <w:jc w:val="center"/>
        <w:rPr>
          <w:sz w:val="24"/>
          <w:szCs w:val="24"/>
        </w:rPr>
      </w:pPr>
      <w:r>
        <w:rPr>
          <w:b/>
          <w:bCs/>
          <w:sz w:val="24"/>
          <w:szCs w:val="24"/>
        </w:rPr>
        <w:t xml:space="preserve">The Center for </w:t>
      </w:r>
      <w:r w:rsidR="0085778D">
        <w:rPr>
          <w:b/>
          <w:bCs/>
          <w:sz w:val="24"/>
          <w:szCs w:val="24"/>
        </w:rPr>
        <w:t xml:space="preserve">Student </w:t>
      </w:r>
      <w:r>
        <w:rPr>
          <w:b/>
          <w:bCs/>
          <w:sz w:val="24"/>
          <w:szCs w:val="24"/>
        </w:rPr>
        <w:t>Academic Success</w:t>
      </w:r>
    </w:p>
    <w:p w:rsidR="00C15F97" w:rsidRDefault="00C15F97">
      <w:pPr>
        <w:rPr>
          <w:sz w:val="24"/>
          <w:szCs w:val="24"/>
        </w:rPr>
      </w:pPr>
    </w:p>
    <w:p w:rsidR="00C15FB0" w:rsidRDefault="00C15FB0" w:rsidP="00C15FB0">
      <w:pPr>
        <w:rPr>
          <w:sz w:val="24"/>
          <w:szCs w:val="24"/>
        </w:rPr>
      </w:pPr>
      <w:r>
        <w:rPr>
          <w:sz w:val="24"/>
          <w:szCs w:val="24"/>
        </w:rPr>
        <w:t>In tandem with the Center for the Liberal Arts, the new Center for Student Academic Success (CSAS) will play an integr</w:t>
      </w:r>
      <w:r w:rsidR="00C80D75">
        <w:rPr>
          <w:sz w:val="24"/>
          <w:szCs w:val="24"/>
        </w:rPr>
        <w:t xml:space="preserve">al role in the new curriculum. </w:t>
      </w:r>
      <w:r>
        <w:rPr>
          <w:sz w:val="24"/>
          <w:szCs w:val="24"/>
        </w:rPr>
        <w:t xml:space="preserve">The CSAS will serve all programs at William &amp; Mary </w:t>
      </w:r>
      <w:r w:rsidR="005344E5">
        <w:rPr>
          <w:sz w:val="24"/>
          <w:szCs w:val="24"/>
        </w:rPr>
        <w:t>while playing</w:t>
      </w:r>
      <w:r>
        <w:rPr>
          <w:sz w:val="24"/>
          <w:szCs w:val="24"/>
        </w:rPr>
        <w:t xml:space="preserve"> a particularly important role in </w:t>
      </w:r>
      <w:r w:rsidR="00C80D75">
        <w:rPr>
          <w:sz w:val="24"/>
          <w:szCs w:val="24"/>
        </w:rPr>
        <w:t xml:space="preserve">support of the new curriculum. </w:t>
      </w:r>
      <w:r>
        <w:rPr>
          <w:sz w:val="24"/>
          <w:szCs w:val="24"/>
        </w:rPr>
        <w:t xml:space="preserve">For example, all of the skills objectives built into the </w:t>
      </w:r>
      <w:r w:rsidR="007A4B25">
        <w:rPr>
          <w:sz w:val="24"/>
          <w:szCs w:val="24"/>
        </w:rPr>
        <w:t>College Course</w:t>
      </w:r>
      <w:r>
        <w:rPr>
          <w:sz w:val="24"/>
          <w:szCs w:val="24"/>
        </w:rPr>
        <w:t>s</w:t>
      </w:r>
      <w:r w:rsidR="00766DC4">
        <w:rPr>
          <w:sz w:val="24"/>
          <w:szCs w:val="24"/>
        </w:rPr>
        <w:t>—</w:t>
      </w:r>
      <w:r>
        <w:rPr>
          <w:sz w:val="24"/>
          <w:szCs w:val="24"/>
        </w:rPr>
        <w:t xml:space="preserve"> writing, oral presentation, and digital literacy and presenta</w:t>
      </w:r>
      <w:r w:rsidR="00766DC4">
        <w:rPr>
          <w:sz w:val="24"/>
          <w:szCs w:val="24"/>
        </w:rPr>
        <w:t>tion, and research techniques—</w:t>
      </w:r>
      <w:r>
        <w:rPr>
          <w:sz w:val="24"/>
          <w:szCs w:val="24"/>
        </w:rPr>
        <w:t>will require the support of workshops and drop-in services that will be offered by the CSAS.</w:t>
      </w:r>
    </w:p>
    <w:p w:rsidR="00C15FB0" w:rsidRDefault="00C15FB0">
      <w:pPr>
        <w:rPr>
          <w:sz w:val="24"/>
          <w:szCs w:val="24"/>
        </w:rPr>
      </w:pPr>
    </w:p>
    <w:p w:rsidR="00E20B65" w:rsidRDefault="00C15FB0">
      <w:pPr>
        <w:rPr>
          <w:sz w:val="24"/>
          <w:szCs w:val="24"/>
        </w:rPr>
      </w:pPr>
      <w:r>
        <w:rPr>
          <w:sz w:val="24"/>
          <w:szCs w:val="24"/>
        </w:rPr>
        <w:t>The Center for Student Academic Success will bring together under one umbrella our academic advising office, writing center, and tutoring with the addition of a quantitative, computatio</w:t>
      </w:r>
      <w:r w:rsidR="00C80D75">
        <w:rPr>
          <w:sz w:val="24"/>
          <w:szCs w:val="24"/>
        </w:rPr>
        <w:t xml:space="preserve">nal and skills support office. </w:t>
      </w:r>
      <w:r>
        <w:rPr>
          <w:sz w:val="24"/>
          <w:szCs w:val="24"/>
        </w:rPr>
        <w:t>We will appoint a single director to oversee the CSAS, and this position would be funded in its initial start-up period with Mellon Foundation funds.</w:t>
      </w:r>
    </w:p>
    <w:p w:rsidR="00E20B65" w:rsidRDefault="00E20B65">
      <w:pPr>
        <w:rPr>
          <w:sz w:val="24"/>
          <w:szCs w:val="24"/>
        </w:rPr>
      </w:pPr>
    </w:p>
    <w:p w:rsidR="00C15F97" w:rsidRDefault="00E20B65">
      <w:pPr>
        <w:rPr>
          <w:sz w:val="24"/>
          <w:szCs w:val="24"/>
        </w:rPr>
      </w:pPr>
      <w:r>
        <w:rPr>
          <w:sz w:val="24"/>
          <w:szCs w:val="24"/>
        </w:rPr>
        <w:t>The Center for Student Academic Success and the Center for the Liberal Arts</w:t>
      </w:r>
      <w:r w:rsidR="00C15FB0">
        <w:rPr>
          <w:sz w:val="24"/>
          <w:szCs w:val="24"/>
        </w:rPr>
        <w:t xml:space="preserve"> </w:t>
      </w:r>
      <w:r w:rsidR="00B95141">
        <w:rPr>
          <w:sz w:val="24"/>
          <w:szCs w:val="24"/>
        </w:rPr>
        <w:t>will be housed at the heart of our campus, in Earl Greg</w:t>
      </w:r>
      <w:r w:rsidR="007808FF">
        <w:rPr>
          <w:sz w:val="24"/>
          <w:szCs w:val="24"/>
        </w:rPr>
        <w:t>g</w:t>
      </w:r>
      <w:r w:rsidR="00C80D75">
        <w:rPr>
          <w:sz w:val="24"/>
          <w:szCs w:val="24"/>
        </w:rPr>
        <w:t xml:space="preserve"> Swem Library. </w:t>
      </w:r>
      <w:r>
        <w:rPr>
          <w:sz w:val="24"/>
          <w:szCs w:val="24"/>
        </w:rPr>
        <w:t xml:space="preserve">The faculty, staff, and students </w:t>
      </w:r>
      <w:r w:rsidR="00635626">
        <w:rPr>
          <w:sz w:val="24"/>
          <w:szCs w:val="24"/>
        </w:rPr>
        <w:t>working in and served by these C</w:t>
      </w:r>
      <w:r>
        <w:rPr>
          <w:sz w:val="24"/>
          <w:szCs w:val="24"/>
        </w:rPr>
        <w:t>enters will work closely with</w:t>
      </w:r>
      <w:r w:rsidR="00B95141">
        <w:rPr>
          <w:sz w:val="24"/>
          <w:szCs w:val="24"/>
        </w:rPr>
        <w:t xml:space="preserve"> </w:t>
      </w:r>
      <w:r>
        <w:rPr>
          <w:sz w:val="24"/>
          <w:szCs w:val="24"/>
        </w:rPr>
        <w:t xml:space="preserve">staff in </w:t>
      </w:r>
      <w:r w:rsidR="00120FAB">
        <w:rPr>
          <w:sz w:val="24"/>
          <w:szCs w:val="24"/>
        </w:rPr>
        <w:t>the</w:t>
      </w:r>
      <w:r>
        <w:rPr>
          <w:sz w:val="24"/>
          <w:szCs w:val="24"/>
        </w:rPr>
        <w:t xml:space="preserve"> </w:t>
      </w:r>
      <w:r w:rsidR="00120FAB">
        <w:rPr>
          <w:sz w:val="24"/>
          <w:szCs w:val="24"/>
        </w:rPr>
        <w:t>Media</w:t>
      </w:r>
      <w:r>
        <w:rPr>
          <w:sz w:val="24"/>
          <w:szCs w:val="24"/>
        </w:rPr>
        <w:t xml:space="preserve"> Center</w:t>
      </w:r>
      <w:r w:rsidR="00B95141">
        <w:rPr>
          <w:sz w:val="24"/>
          <w:szCs w:val="24"/>
        </w:rPr>
        <w:t xml:space="preserve"> and </w:t>
      </w:r>
      <w:r w:rsidR="00120FAB">
        <w:rPr>
          <w:sz w:val="24"/>
          <w:szCs w:val="24"/>
        </w:rPr>
        <w:t xml:space="preserve">the </w:t>
      </w:r>
      <w:r>
        <w:rPr>
          <w:sz w:val="24"/>
          <w:szCs w:val="24"/>
        </w:rPr>
        <w:t xml:space="preserve">Mellon Foundation-funded </w:t>
      </w:r>
      <w:r w:rsidR="00120FAB">
        <w:rPr>
          <w:sz w:val="24"/>
          <w:szCs w:val="24"/>
        </w:rPr>
        <w:t>Center for Geospatial Analysis</w:t>
      </w:r>
      <w:r w:rsidR="00B95141">
        <w:rPr>
          <w:sz w:val="24"/>
          <w:szCs w:val="24"/>
        </w:rPr>
        <w:t>, all of which are also in Swem, to serve as a single hub for student academic assistance</w:t>
      </w:r>
      <w:r w:rsidR="00B95141" w:rsidRPr="00655F06">
        <w:rPr>
          <w:color w:val="FF0000"/>
          <w:sz w:val="24"/>
          <w:szCs w:val="24"/>
        </w:rPr>
        <w:t>.</w:t>
      </w:r>
      <w:r w:rsidR="00C80D75">
        <w:rPr>
          <w:color w:val="FF0000"/>
          <w:sz w:val="24"/>
          <w:szCs w:val="24"/>
        </w:rPr>
        <w:t xml:space="preserve"> </w:t>
      </w:r>
      <w:r w:rsidR="00655F06" w:rsidRPr="0032449C">
        <w:rPr>
          <w:sz w:val="24"/>
          <w:szCs w:val="24"/>
        </w:rPr>
        <w:t xml:space="preserve">Because of its pivotal role in our new curriculum, all </w:t>
      </w:r>
      <w:r w:rsidR="00BF232C" w:rsidRPr="0032449C">
        <w:rPr>
          <w:sz w:val="24"/>
          <w:szCs w:val="24"/>
        </w:rPr>
        <w:t xml:space="preserve">of our </w:t>
      </w:r>
      <w:r w:rsidR="00655F06" w:rsidRPr="0032449C">
        <w:rPr>
          <w:sz w:val="24"/>
          <w:szCs w:val="24"/>
        </w:rPr>
        <w:t>undergraduates</w:t>
      </w:r>
      <w:r w:rsidR="00BF232C" w:rsidRPr="0032449C">
        <w:rPr>
          <w:sz w:val="24"/>
          <w:szCs w:val="24"/>
        </w:rPr>
        <w:t xml:space="preserve"> will be served by the </w:t>
      </w:r>
      <w:r w:rsidR="003F454B" w:rsidRPr="0032449C">
        <w:rPr>
          <w:sz w:val="24"/>
          <w:szCs w:val="24"/>
        </w:rPr>
        <w:t>Center for Student Academic Success</w:t>
      </w:r>
      <w:r w:rsidR="00BF232C" w:rsidRPr="0032449C">
        <w:rPr>
          <w:sz w:val="24"/>
          <w:szCs w:val="24"/>
        </w:rPr>
        <w:t>.</w:t>
      </w:r>
      <w:r w:rsidR="00B95141" w:rsidRPr="0032449C">
        <w:rPr>
          <w:sz w:val="24"/>
          <w:szCs w:val="24"/>
        </w:rPr>
        <w:t xml:space="preserve">  </w:t>
      </w:r>
    </w:p>
    <w:p w:rsidR="00C15F97" w:rsidRDefault="00C15F97">
      <w:pPr>
        <w:rPr>
          <w:sz w:val="24"/>
          <w:szCs w:val="24"/>
        </w:rPr>
      </w:pPr>
    </w:p>
    <w:p w:rsidR="00B744D4" w:rsidRDefault="00B744D4" w:rsidP="00B744D4">
      <w:pPr>
        <w:rPr>
          <w:sz w:val="24"/>
          <w:szCs w:val="24"/>
        </w:rPr>
      </w:pPr>
      <w:r>
        <w:rPr>
          <w:b/>
          <w:bCs/>
          <w:sz w:val="24"/>
          <w:szCs w:val="24"/>
        </w:rPr>
        <w:t>Curricular Consolidation and Productivity</w:t>
      </w:r>
    </w:p>
    <w:p w:rsidR="00B744D4" w:rsidRDefault="00B744D4" w:rsidP="00B744D4">
      <w:pPr>
        <w:rPr>
          <w:sz w:val="24"/>
          <w:szCs w:val="24"/>
        </w:rPr>
      </w:pPr>
    </w:p>
    <w:p w:rsidR="00B744D4" w:rsidRDefault="00B744D4" w:rsidP="00B744D4">
      <w:pPr>
        <w:rPr>
          <w:sz w:val="24"/>
          <w:szCs w:val="24"/>
        </w:rPr>
      </w:pPr>
      <w:r>
        <w:rPr>
          <w:sz w:val="24"/>
          <w:szCs w:val="24"/>
        </w:rPr>
        <w:t>Our new curriculum will be expensive</w:t>
      </w:r>
      <w:r w:rsidR="00766DC4">
        <w:rPr>
          <w:sz w:val="24"/>
          <w:szCs w:val="24"/>
        </w:rPr>
        <w:t>—</w:t>
      </w:r>
      <w:r>
        <w:rPr>
          <w:sz w:val="24"/>
          <w:szCs w:val="24"/>
        </w:rPr>
        <w:t>in faculty time, energy, and financia</w:t>
      </w:r>
      <w:r w:rsidR="00C80D75">
        <w:rPr>
          <w:sz w:val="24"/>
          <w:szCs w:val="24"/>
        </w:rPr>
        <w:t>l resources. </w:t>
      </w:r>
      <w:r>
        <w:rPr>
          <w:sz w:val="24"/>
          <w:szCs w:val="24"/>
        </w:rPr>
        <w:t>So it is critical that we accomplish as many of our goals as possible within th</w:t>
      </w:r>
      <w:r w:rsidR="00C80D75">
        <w:rPr>
          <w:sz w:val="24"/>
          <w:szCs w:val="24"/>
        </w:rPr>
        <w:t>e sequence of College Courses. </w:t>
      </w:r>
      <w:r>
        <w:rPr>
          <w:sz w:val="24"/>
          <w:szCs w:val="24"/>
        </w:rPr>
        <w:t xml:space="preserve">For example, </w:t>
      </w:r>
      <w:r w:rsidR="001641A7">
        <w:rPr>
          <w:sz w:val="24"/>
          <w:szCs w:val="24"/>
        </w:rPr>
        <w:t>our</w:t>
      </w:r>
      <w:r>
        <w:rPr>
          <w:sz w:val="24"/>
          <w:szCs w:val="24"/>
        </w:rPr>
        <w:t xml:space="preserve"> digital literacy competency requirement is currently met with a separate, stand-alone course; in the new curriculum, it will be folded into </w:t>
      </w:r>
      <w:r w:rsidR="004369DF">
        <w:rPr>
          <w:sz w:val="24"/>
          <w:szCs w:val="24"/>
        </w:rPr>
        <w:t>COLL</w:t>
      </w:r>
      <w:r w:rsidR="00C80D75">
        <w:rPr>
          <w:sz w:val="24"/>
          <w:szCs w:val="24"/>
        </w:rPr>
        <w:t xml:space="preserve"> 100. </w:t>
      </w:r>
      <w:r>
        <w:rPr>
          <w:sz w:val="24"/>
          <w:szCs w:val="24"/>
        </w:rPr>
        <w:t xml:space="preserve">Similarly, our new emphasis on visual, quantitative, and digital and/or multi-media expression will be </w:t>
      </w:r>
      <w:r>
        <w:rPr>
          <w:sz w:val="24"/>
          <w:szCs w:val="24"/>
        </w:rPr>
        <w:lastRenderedPageBreak/>
        <w:t xml:space="preserve">included in objectives for </w:t>
      </w:r>
      <w:r w:rsidR="004369DF">
        <w:rPr>
          <w:sz w:val="24"/>
          <w:szCs w:val="24"/>
        </w:rPr>
        <w:t>COLL</w:t>
      </w:r>
      <w:r>
        <w:rPr>
          <w:sz w:val="24"/>
          <w:szCs w:val="24"/>
        </w:rPr>
        <w:t xml:space="preserve"> 200 (which will be supported by the Center </w:t>
      </w:r>
      <w:r w:rsidR="00C80D75">
        <w:rPr>
          <w:sz w:val="24"/>
          <w:szCs w:val="24"/>
        </w:rPr>
        <w:t xml:space="preserve">for </w:t>
      </w:r>
      <w:r w:rsidR="006C6B46">
        <w:rPr>
          <w:sz w:val="24"/>
          <w:szCs w:val="24"/>
        </w:rPr>
        <w:t xml:space="preserve">Student </w:t>
      </w:r>
      <w:r w:rsidR="00C80D75">
        <w:rPr>
          <w:sz w:val="24"/>
          <w:szCs w:val="24"/>
        </w:rPr>
        <w:t>Academic Success). </w:t>
      </w:r>
      <w:r>
        <w:rPr>
          <w:sz w:val="24"/>
          <w:szCs w:val="24"/>
        </w:rPr>
        <w:t>Our freshman composition requirement also was once met by a separate required cou</w:t>
      </w:r>
      <w:r w:rsidR="00655F06">
        <w:rPr>
          <w:sz w:val="24"/>
          <w:szCs w:val="24"/>
        </w:rPr>
        <w:t xml:space="preserve">rse but is now met </w:t>
      </w:r>
      <w:r w:rsidR="00655F06" w:rsidRPr="0032449C">
        <w:rPr>
          <w:sz w:val="24"/>
          <w:szCs w:val="24"/>
        </w:rPr>
        <w:t xml:space="preserve">with </w:t>
      </w:r>
      <w:r w:rsidR="0032449C" w:rsidRPr="0032449C">
        <w:rPr>
          <w:sz w:val="24"/>
          <w:szCs w:val="24"/>
        </w:rPr>
        <w:t>first-</w:t>
      </w:r>
      <w:r w:rsidR="00655F06" w:rsidRPr="0032449C">
        <w:rPr>
          <w:sz w:val="24"/>
          <w:szCs w:val="24"/>
        </w:rPr>
        <w:t xml:space="preserve">year </w:t>
      </w:r>
      <w:r>
        <w:rPr>
          <w:sz w:val="24"/>
          <w:szCs w:val="24"/>
        </w:rPr>
        <w:t xml:space="preserve">seminars. </w:t>
      </w:r>
    </w:p>
    <w:p w:rsidR="00936FEA" w:rsidRDefault="00936FEA" w:rsidP="00B744D4">
      <w:pPr>
        <w:rPr>
          <w:sz w:val="24"/>
          <w:szCs w:val="24"/>
        </w:rPr>
      </w:pPr>
    </w:p>
    <w:p w:rsidR="00B744D4" w:rsidRDefault="00B744D4" w:rsidP="00B744D4">
      <w:pPr>
        <w:rPr>
          <w:sz w:val="24"/>
          <w:szCs w:val="24"/>
        </w:rPr>
      </w:pPr>
      <w:r>
        <w:rPr>
          <w:sz w:val="24"/>
          <w:szCs w:val="24"/>
        </w:rPr>
        <w:t>Technology, of course, already plays a critical role in our curriculum. For example, many humanities departments have courses that give students opportunities to build and curate online databases and to use these resources to conduct research projects, and GIS-based research now takes place across a wide range of humanities, social sci</w:t>
      </w:r>
      <w:r w:rsidR="00BB33CB">
        <w:rPr>
          <w:sz w:val="24"/>
          <w:szCs w:val="24"/>
        </w:rPr>
        <w:t>ence, and science departments. </w:t>
      </w:r>
      <w:r>
        <w:rPr>
          <w:sz w:val="24"/>
          <w:szCs w:val="24"/>
        </w:rPr>
        <w:t>We are also studying strategies for using e-learning to augment (not to replace) enga</w:t>
      </w:r>
      <w:r w:rsidR="005F5BF1">
        <w:rPr>
          <w:sz w:val="24"/>
          <w:szCs w:val="24"/>
        </w:rPr>
        <w:t xml:space="preserve">ged learning, including course </w:t>
      </w:r>
      <w:r>
        <w:rPr>
          <w:sz w:val="24"/>
          <w:szCs w:val="24"/>
        </w:rPr>
        <w:t>flipping,</w:t>
      </w:r>
      <w:r w:rsidR="005F5BF1">
        <w:rPr>
          <w:sz w:val="24"/>
          <w:szCs w:val="24"/>
        </w:rPr>
        <w:t xml:space="preserve"> </w:t>
      </w:r>
      <w:r>
        <w:rPr>
          <w:sz w:val="24"/>
          <w:szCs w:val="24"/>
        </w:rPr>
        <w:t>blended learning, and other techniques using asynchronous online ma</w:t>
      </w:r>
      <w:r w:rsidR="00655F06">
        <w:rPr>
          <w:sz w:val="24"/>
          <w:szCs w:val="24"/>
        </w:rPr>
        <w:t>te</w:t>
      </w:r>
      <w:r w:rsidR="00BB33CB">
        <w:rPr>
          <w:sz w:val="24"/>
          <w:szCs w:val="24"/>
        </w:rPr>
        <w:t xml:space="preserve">rials to teach course content. </w:t>
      </w:r>
      <w:r>
        <w:rPr>
          <w:sz w:val="24"/>
          <w:szCs w:val="24"/>
        </w:rPr>
        <w:t>We will use our College Courses, supported by course development initiatives organized by the</w:t>
      </w:r>
      <w:r w:rsidR="002661F3">
        <w:rPr>
          <w:sz w:val="24"/>
          <w:szCs w:val="24"/>
        </w:rPr>
        <w:t xml:space="preserve"> Roy R. </w:t>
      </w:r>
      <w:r>
        <w:rPr>
          <w:sz w:val="24"/>
          <w:szCs w:val="24"/>
        </w:rPr>
        <w:t xml:space="preserve">Charles Center and the Center for the Liberal Arts, as the primary venues for this experimentation.      </w:t>
      </w:r>
    </w:p>
    <w:p w:rsidR="00B744D4" w:rsidRDefault="00B744D4" w:rsidP="00B744D4">
      <w:pPr>
        <w:rPr>
          <w:sz w:val="24"/>
          <w:szCs w:val="24"/>
        </w:rPr>
      </w:pPr>
      <w:r>
        <w:rPr>
          <w:sz w:val="24"/>
          <w:szCs w:val="24"/>
        </w:rPr>
        <w:t>     </w:t>
      </w:r>
    </w:p>
    <w:p w:rsidR="00B744D4" w:rsidRDefault="00B744D4" w:rsidP="00B744D4">
      <w:pPr>
        <w:rPr>
          <w:sz w:val="24"/>
          <w:szCs w:val="24"/>
        </w:rPr>
      </w:pPr>
      <w:r>
        <w:rPr>
          <w:sz w:val="24"/>
          <w:szCs w:val="24"/>
        </w:rPr>
        <w:t>Probably the biggest goal of the new curriculum is to make inquiry-based learning and research central to the undergraduate expe</w:t>
      </w:r>
      <w:r w:rsidR="00BB33CB">
        <w:rPr>
          <w:sz w:val="24"/>
          <w:szCs w:val="24"/>
        </w:rPr>
        <w:t>rience of ALL of our students. </w:t>
      </w:r>
      <w:r>
        <w:rPr>
          <w:sz w:val="24"/>
          <w:szCs w:val="24"/>
        </w:rPr>
        <w:t>Many of our majors have research courses embedded</w:t>
      </w:r>
      <w:r w:rsidR="00BB33CB">
        <w:rPr>
          <w:sz w:val="24"/>
          <w:szCs w:val="24"/>
        </w:rPr>
        <w:t xml:space="preserve"> in their degree requirements. </w:t>
      </w:r>
      <w:r>
        <w:rPr>
          <w:sz w:val="24"/>
          <w:szCs w:val="24"/>
        </w:rPr>
        <w:t>An exc</w:t>
      </w:r>
      <w:r w:rsidR="00655F06">
        <w:rPr>
          <w:sz w:val="24"/>
          <w:szCs w:val="24"/>
        </w:rPr>
        <w:t xml:space="preserve">ellent example is the </w:t>
      </w:r>
      <w:r w:rsidR="00655F06" w:rsidRPr="008B7170">
        <w:rPr>
          <w:sz w:val="24"/>
          <w:szCs w:val="24"/>
        </w:rPr>
        <w:t>curricula</w:t>
      </w:r>
      <w:r w:rsidRPr="008B7170">
        <w:rPr>
          <w:sz w:val="24"/>
          <w:szCs w:val="24"/>
        </w:rPr>
        <w:t xml:space="preserve"> </w:t>
      </w:r>
      <w:r>
        <w:rPr>
          <w:sz w:val="24"/>
          <w:szCs w:val="24"/>
        </w:rPr>
        <w:t xml:space="preserve">in our Global Studies majors, which, thanks to Mellon Foundation support, now </w:t>
      </w:r>
      <w:r w:rsidRPr="008B7170">
        <w:rPr>
          <w:sz w:val="24"/>
          <w:szCs w:val="24"/>
        </w:rPr>
        <w:t xml:space="preserve">feature </w:t>
      </w:r>
      <w:r>
        <w:rPr>
          <w:sz w:val="24"/>
          <w:szCs w:val="24"/>
        </w:rPr>
        <w:t>significant research opportunities at both the int</w:t>
      </w:r>
      <w:r w:rsidR="00BB33CB">
        <w:rPr>
          <w:sz w:val="24"/>
          <w:szCs w:val="24"/>
        </w:rPr>
        <w:t>roductory and advanced levels. </w:t>
      </w:r>
      <w:r>
        <w:rPr>
          <w:sz w:val="24"/>
          <w:szCs w:val="24"/>
        </w:rPr>
        <w:t>But this isn’t true for all of our majors, and, since our student body is growing in size (primarily in response to external pressure), it will not be easy for all of our departments to embrace a research-ce</w:t>
      </w:r>
      <w:r w:rsidR="00BB33CB">
        <w:rPr>
          <w:sz w:val="24"/>
          <w:szCs w:val="24"/>
        </w:rPr>
        <w:t>ntered model in the near term. </w:t>
      </w:r>
      <w:r>
        <w:rPr>
          <w:sz w:val="24"/>
          <w:szCs w:val="24"/>
        </w:rPr>
        <w:t>By building a significant commitment to research- and inquiry-based learning into our College Courses</w:t>
      </w:r>
      <w:r w:rsidR="00E562E6">
        <w:rPr>
          <w:sz w:val="24"/>
          <w:szCs w:val="24"/>
        </w:rPr>
        <w:t>—</w:t>
      </w:r>
      <w:r>
        <w:rPr>
          <w:sz w:val="24"/>
          <w:szCs w:val="24"/>
        </w:rPr>
        <w:t>and especially COLL 100, 150, and 400</w:t>
      </w:r>
      <w:r w:rsidR="00E562E6">
        <w:rPr>
          <w:sz w:val="24"/>
          <w:szCs w:val="24"/>
        </w:rPr>
        <w:t>—</w:t>
      </w:r>
      <w:r>
        <w:rPr>
          <w:sz w:val="24"/>
          <w:szCs w:val="24"/>
        </w:rPr>
        <w:t xml:space="preserve">we can say with confidence that </w:t>
      </w:r>
      <w:r w:rsidR="004C621E">
        <w:rPr>
          <w:sz w:val="24"/>
          <w:szCs w:val="24"/>
        </w:rPr>
        <w:t>this type of learning becomes</w:t>
      </w:r>
      <w:r>
        <w:rPr>
          <w:sz w:val="24"/>
          <w:szCs w:val="24"/>
        </w:rPr>
        <w:t xml:space="preserve"> a universal exp</w:t>
      </w:r>
      <w:r w:rsidR="00BB33CB">
        <w:rPr>
          <w:sz w:val="24"/>
          <w:szCs w:val="24"/>
        </w:rPr>
        <w:t xml:space="preserve">erience of our undergraduates. </w:t>
      </w:r>
      <w:r>
        <w:rPr>
          <w:sz w:val="24"/>
          <w:szCs w:val="24"/>
        </w:rPr>
        <w:t xml:space="preserve">This is by far the most efficient way to achieve this goal.    </w:t>
      </w:r>
    </w:p>
    <w:p w:rsidR="00B744D4" w:rsidRDefault="00B744D4">
      <w:pPr>
        <w:rPr>
          <w:b/>
          <w:bCs/>
          <w:sz w:val="24"/>
          <w:szCs w:val="24"/>
        </w:rPr>
      </w:pPr>
    </w:p>
    <w:p w:rsidR="00C15F97" w:rsidRDefault="00687EF1">
      <w:pPr>
        <w:rPr>
          <w:sz w:val="24"/>
          <w:szCs w:val="24"/>
        </w:rPr>
      </w:pPr>
      <w:r>
        <w:rPr>
          <w:b/>
          <w:bCs/>
          <w:sz w:val="24"/>
          <w:szCs w:val="24"/>
        </w:rPr>
        <w:t>Impl</w:t>
      </w:r>
      <w:r w:rsidR="000B6EC6">
        <w:rPr>
          <w:b/>
          <w:bCs/>
          <w:sz w:val="24"/>
          <w:szCs w:val="24"/>
        </w:rPr>
        <w:t>ementation Timeline</w:t>
      </w:r>
    </w:p>
    <w:p w:rsidR="00C15F97" w:rsidRDefault="00C15F97">
      <w:pPr>
        <w:rPr>
          <w:sz w:val="24"/>
          <w:szCs w:val="24"/>
        </w:rPr>
      </w:pPr>
    </w:p>
    <w:p w:rsidR="00766DC4" w:rsidRPr="00524738" w:rsidRDefault="00766DC4" w:rsidP="00524738">
      <w:pPr>
        <w:rPr>
          <w:sz w:val="24"/>
          <w:szCs w:val="24"/>
        </w:rPr>
      </w:pPr>
      <w:r>
        <w:rPr>
          <w:sz w:val="24"/>
          <w:szCs w:val="24"/>
        </w:rPr>
        <w:t xml:space="preserve">Kate </w:t>
      </w:r>
      <w:r w:rsidRPr="00524738">
        <w:rPr>
          <w:sz w:val="24"/>
          <w:szCs w:val="24"/>
        </w:rPr>
        <w:t xml:space="preserve">Conley, Dean of the Faculty of Arts &amp; Sciences, working together with four associate deans of Arts &amp; Sciences, will be responsible for all oversight and </w:t>
      </w:r>
      <w:r w:rsidR="00EB3415">
        <w:rPr>
          <w:sz w:val="24"/>
          <w:szCs w:val="24"/>
        </w:rPr>
        <w:t xml:space="preserve">for providing interim and final reports </w:t>
      </w:r>
      <w:r w:rsidRPr="00524738">
        <w:rPr>
          <w:sz w:val="24"/>
          <w:szCs w:val="24"/>
        </w:rPr>
        <w:t>associated with this grant.</w:t>
      </w:r>
      <w:r w:rsidR="00A7223C">
        <w:rPr>
          <w:sz w:val="24"/>
          <w:szCs w:val="24"/>
        </w:rPr>
        <w:t xml:space="preserve"> </w:t>
      </w:r>
      <w:r w:rsidR="00524738" w:rsidRPr="00524738">
        <w:rPr>
          <w:sz w:val="24"/>
          <w:szCs w:val="24"/>
        </w:rPr>
        <w:t xml:space="preserve">The four associate deans of Arts &amp; Sciences are: John Griffin, Dean of Undergraduate Studies; </w:t>
      </w:r>
      <w:r w:rsidR="00524738">
        <w:rPr>
          <w:sz w:val="24"/>
          <w:szCs w:val="24"/>
        </w:rPr>
        <w:t xml:space="preserve">Lu Ann Homza, Dean for Educational Policy; </w:t>
      </w:r>
      <w:r w:rsidR="00524738" w:rsidRPr="00524738">
        <w:rPr>
          <w:sz w:val="24"/>
          <w:szCs w:val="24"/>
        </w:rPr>
        <w:t xml:space="preserve">Joel Schwartz, Dean for Honors and Interdisciplinary Studies; and </w:t>
      </w:r>
      <w:hyperlink r:id="rId10" w:history="1">
        <w:r w:rsidR="00524738" w:rsidRPr="00524738">
          <w:rPr>
            <w:rStyle w:val="Hyperlink"/>
            <w:color w:val="auto"/>
            <w:sz w:val="24"/>
            <w:szCs w:val="24"/>
          </w:rPr>
          <w:t>Virginia Torczon</w:t>
        </w:r>
      </w:hyperlink>
      <w:r w:rsidR="00524738" w:rsidRPr="00524738">
        <w:rPr>
          <w:sz w:val="24"/>
          <w:szCs w:val="24"/>
        </w:rPr>
        <w:t xml:space="preserve">, Dean </w:t>
      </w:r>
      <w:r w:rsidR="00E53069">
        <w:rPr>
          <w:sz w:val="24"/>
          <w:szCs w:val="24"/>
        </w:rPr>
        <w:t>of</w:t>
      </w:r>
      <w:r w:rsidR="00524738" w:rsidRPr="00524738">
        <w:rPr>
          <w:sz w:val="24"/>
          <w:szCs w:val="24"/>
        </w:rPr>
        <w:t xml:space="preserve"> Graduate Studies and Research.</w:t>
      </w:r>
    </w:p>
    <w:p w:rsidR="00766DC4" w:rsidRDefault="00766DC4" w:rsidP="00766DC4">
      <w:pPr>
        <w:rPr>
          <w:sz w:val="24"/>
          <w:szCs w:val="24"/>
        </w:rPr>
      </w:pPr>
    </w:p>
    <w:p w:rsidR="00766DC4" w:rsidRDefault="00766DC4" w:rsidP="00766DC4">
      <w:pPr>
        <w:rPr>
          <w:sz w:val="24"/>
          <w:szCs w:val="24"/>
        </w:rPr>
      </w:pPr>
      <w:r>
        <w:rPr>
          <w:sz w:val="24"/>
          <w:szCs w:val="24"/>
        </w:rPr>
        <w:t>There is considerable work for us to do to implement the new curriculum, and, for reasons that we have suggested, it is critical that we accomplish this wi</w:t>
      </w:r>
      <w:r w:rsidR="00E87ED1">
        <w:rPr>
          <w:sz w:val="24"/>
          <w:szCs w:val="24"/>
        </w:rPr>
        <w:t>thin a compact period of time. </w:t>
      </w:r>
      <w:r>
        <w:rPr>
          <w:sz w:val="24"/>
          <w:szCs w:val="24"/>
        </w:rPr>
        <w:t xml:space="preserve">We have concluded that we need a </w:t>
      </w:r>
      <w:r w:rsidR="00362182">
        <w:rPr>
          <w:sz w:val="24"/>
          <w:szCs w:val="24"/>
        </w:rPr>
        <w:t>five</w:t>
      </w:r>
      <w:r>
        <w:rPr>
          <w:sz w:val="24"/>
          <w:szCs w:val="24"/>
        </w:rPr>
        <w:t>-year implementation period, starting in 2014</w:t>
      </w:r>
      <w:r w:rsidR="00E87ED1">
        <w:rPr>
          <w:sz w:val="24"/>
          <w:szCs w:val="24"/>
        </w:rPr>
        <w:t>–2015 and ending in 2018–2019. </w:t>
      </w:r>
      <w:r>
        <w:rPr>
          <w:sz w:val="24"/>
          <w:szCs w:val="24"/>
        </w:rPr>
        <w:t>This will permit us to pilot a small number of COLL 100s and 150s in 2014–2015, to launch the first-year component of the curriculum in 2015–2016 for the class that enters that year, and then to continue to develop the other elements of the curriculum as these first-year students progress and we add successive entering classes—with the whole process completed in 2018–2019, when members of</w:t>
      </w:r>
      <w:r w:rsidR="00E87ED1">
        <w:rPr>
          <w:sz w:val="24"/>
          <w:szCs w:val="24"/>
        </w:rPr>
        <w:t xml:space="preserve"> our first cohort are seniors. </w:t>
      </w:r>
      <w:r>
        <w:rPr>
          <w:sz w:val="24"/>
          <w:szCs w:val="24"/>
        </w:rPr>
        <w:t xml:space="preserve">One of the most urgent tasks will be to introduce our two new Centers—the Center for the Liberal Arts starting in Spring 2014 and the Center for Student Academic Success starting in Spring 2016.     </w:t>
      </w:r>
    </w:p>
    <w:p w:rsidR="00766DC4" w:rsidRDefault="00766DC4" w:rsidP="00766DC4">
      <w:pPr>
        <w:rPr>
          <w:sz w:val="24"/>
          <w:szCs w:val="24"/>
        </w:rPr>
      </w:pPr>
    </w:p>
    <w:p w:rsidR="00766DC4" w:rsidRDefault="00766DC4" w:rsidP="00766DC4">
      <w:pPr>
        <w:rPr>
          <w:sz w:val="24"/>
          <w:szCs w:val="24"/>
        </w:rPr>
      </w:pPr>
      <w:r>
        <w:rPr>
          <w:sz w:val="24"/>
          <w:szCs w:val="24"/>
        </w:rPr>
        <w:lastRenderedPageBreak/>
        <w:t xml:space="preserve">This proposal focuses on the resources that are most basic and indispensable to the implementation </w:t>
      </w:r>
      <w:r w:rsidR="00E87ED1">
        <w:rPr>
          <w:sz w:val="24"/>
          <w:szCs w:val="24"/>
        </w:rPr>
        <w:t>of our new curriculum. </w:t>
      </w:r>
      <w:r>
        <w:rPr>
          <w:sz w:val="24"/>
          <w:szCs w:val="24"/>
        </w:rPr>
        <w:t xml:space="preserve">Our plan, clarified in the budget narrative and table below, is to ask the Mellon Foundation to provide initial funding for each of the positions that are most critical to this project, with William </w:t>
      </w:r>
      <w:r w:rsidR="00142F0C">
        <w:rPr>
          <w:sz w:val="24"/>
          <w:szCs w:val="24"/>
        </w:rPr>
        <w:t>&amp;</w:t>
      </w:r>
      <w:r>
        <w:rPr>
          <w:sz w:val="24"/>
          <w:szCs w:val="24"/>
        </w:rPr>
        <w:t xml:space="preserve"> Mary assuming all of these cost</w:t>
      </w:r>
      <w:r w:rsidR="00E87ED1">
        <w:rPr>
          <w:sz w:val="24"/>
          <w:szCs w:val="24"/>
        </w:rPr>
        <w:t>s in perpetuity by 2018–2019. </w:t>
      </w:r>
      <w:r>
        <w:rPr>
          <w:sz w:val="24"/>
          <w:szCs w:val="24"/>
        </w:rPr>
        <w:t xml:space="preserve">We also ask the Mellon Foundation to provide funding for a significant four-year faculty development effort that will make it possible for us to create the courses we need </w:t>
      </w:r>
      <w:r w:rsidR="00E87ED1">
        <w:rPr>
          <w:sz w:val="24"/>
          <w:szCs w:val="24"/>
        </w:rPr>
        <w:t>to sustain the new curriculum. </w:t>
      </w:r>
      <w:r>
        <w:rPr>
          <w:sz w:val="24"/>
          <w:szCs w:val="24"/>
        </w:rPr>
        <w:t>The new curriculum will be a high priority in Will</w:t>
      </w:r>
      <w:r w:rsidR="00E87ED1">
        <w:rPr>
          <w:sz w:val="24"/>
          <w:szCs w:val="24"/>
        </w:rPr>
        <w:t xml:space="preserve">iam &amp; Mary’s planned </w:t>
      </w:r>
      <w:r w:rsidR="00941709" w:rsidRPr="00BC52E0">
        <w:rPr>
          <w:sz w:val="24"/>
          <w:szCs w:val="24"/>
        </w:rPr>
        <w:t>capital</w:t>
      </w:r>
      <w:r w:rsidR="00941709">
        <w:rPr>
          <w:sz w:val="24"/>
          <w:szCs w:val="24"/>
        </w:rPr>
        <w:t xml:space="preserve"> </w:t>
      </w:r>
      <w:r w:rsidR="00E87ED1">
        <w:rPr>
          <w:sz w:val="24"/>
          <w:szCs w:val="24"/>
        </w:rPr>
        <w:t>campaign. </w:t>
      </w:r>
      <w:r>
        <w:rPr>
          <w:sz w:val="24"/>
          <w:szCs w:val="24"/>
        </w:rPr>
        <w:t xml:space="preserve">In fact, we have already received a significant private commitment, which will begin to become available in FY2016, that we will be able to use to help assume the funding that </w:t>
      </w:r>
      <w:r w:rsidR="009A0AAF">
        <w:rPr>
          <w:sz w:val="24"/>
          <w:szCs w:val="24"/>
        </w:rPr>
        <w:t xml:space="preserve">the </w:t>
      </w:r>
      <w:r>
        <w:rPr>
          <w:sz w:val="24"/>
          <w:szCs w:val="24"/>
        </w:rPr>
        <w:t xml:space="preserve">Mellon </w:t>
      </w:r>
      <w:r w:rsidR="007D73EF">
        <w:rPr>
          <w:sz w:val="24"/>
          <w:szCs w:val="24"/>
        </w:rPr>
        <w:t xml:space="preserve">Foundation </w:t>
      </w:r>
      <w:r>
        <w:rPr>
          <w:sz w:val="24"/>
          <w:szCs w:val="24"/>
        </w:rPr>
        <w:t>will be providing for first</w:t>
      </w:r>
      <w:r w:rsidR="00E87ED1">
        <w:rPr>
          <w:sz w:val="24"/>
          <w:szCs w:val="24"/>
        </w:rPr>
        <w:t>-year instructional positions. </w:t>
      </w:r>
      <w:r>
        <w:rPr>
          <w:sz w:val="24"/>
          <w:szCs w:val="24"/>
        </w:rPr>
        <w:t>In general, it is our plan to use the prestige and leverage of a gift from the Mellon Foundation to raise the additional funds that we will need, both to meet the specific obligations that we undertake in this proposal and to raise funds that will provide further important support for the new curriculum.</w:t>
      </w:r>
    </w:p>
    <w:p w:rsidR="00EB3415" w:rsidRDefault="00EB3415" w:rsidP="00766DC4">
      <w:pPr>
        <w:rPr>
          <w:sz w:val="24"/>
          <w:szCs w:val="24"/>
        </w:rPr>
      </w:pPr>
    </w:p>
    <w:p w:rsidR="00C15F97" w:rsidRDefault="000B6EC6">
      <w:pPr>
        <w:rPr>
          <w:b/>
          <w:bCs/>
          <w:sz w:val="24"/>
          <w:szCs w:val="24"/>
        </w:rPr>
      </w:pPr>
      <w:r>
        <w:rPr>
          <w:b/>
          <w:bCs/>
          <w:sz w:val="24"/>
          <w:szCs w:val="24"/>
        </w:rPr>
        <w:t>Budget Summary</w:t>
      </w:r>
    </w:p>
    <w:p w:rsidR="00FF0E1C" w:rsidRDefault="00FF0E1C">
      <w:pPr>
        <w:rPr>
          <w:sz w:val="24"/>
          <w:szCs w:val="24"/>
        </w:rPr>
      </w:pPr>
    </w:p>
    <w:p w:rsidR="00A07DFA" w:rsidRDefault="00E63057">
      <w:pPr>
        <w:rPr>
          <w:sz w:val="24"/>
          <w:szCs w:val="24"/>
        </w:rPr>
      </w:pPr>
      <w:r>
        <w:rPr>
          <w:sz w:val="24"/>
          <w:szCs w:val="24"/>
        </w:rPr>
        <w:t>W</w:t>
      </w:r>
      <w:r w:rsidR="00B95141" w:rsidRPr="006F0510">
        <w:rPr>
          <w:sz w:val="24"/>
          <w:szCs w:val="24"/>
        </w:rPr>
        <w:t xml:space="preserve">e </w:t>
      </w:r>
      <w:r w:rsidR="00061E15">
        <w:rPr>
          <w:sz w:val="24"/>
          <w:szCs w:val="24"/>
        </w:rPr>
        <w:t>respectfully request that</w:t>
      </w:r>
      <w:r w:rsidR="00B95141" w:rsidRPr="006F0510">
        <w:rPr>
          <w:sz w:val="24"/>
          <w:szCs w:val="24"/>
        </w:rPr>
        <w:t xml:space="preserve"> the Mellon Foundation fund new </w:t>
      </w:r>
      <w:r w:rsidR="000F33D6">
        <w:rPr>
          <w:sz w:val="24"/>
          <w:szCs w:val="24"/>
        </w:rPr>
        <w:t xml:space="preserve">teaching </w:t>
      </w:r>
      <w:r w:rsidR="007C0D6B">
        <w:rPr>
          <w:sz w:val="24"/>
          <w:szCs w:val="24"/>
        </w:rPr>
        <w:t xml:space="preserve">and administrative </w:t>
      </w:r>
      <w:r w:rsidR="00B95141" w:rsidRPr="006F0510">
        <w:rPr>
          <w:sz w:val="24"/>
          <w:szCs w:val="24"/>
        </w:rPr>
        <w:t>positions</w:t>
      </w:r>
      <w:r w:rsidR="00B5268B" w:rsidRPr="006F0510">
        <w:rPr>
          <w:sz w:val="24"/>
          <w:szCs w:val="24"/>
        </w:rPr>
        <w:t xml:space="preserve"> </w:t>
      </w:r>
      <w:r w:rsidR="00061E15">
        <w:rPr>
          <w:sz w:val="24"/>
          <w:szCs w:val="24"/>
        </w:rPr>
        <w:t>and faculty development seminars</w:t>
      </w:r>
      <w:r>
        <w:rPr>
          <w:sz w:val="24"/>
          <w:szCs w:val="24"/>
        </w:rPr>
        <w:t xml:space="preserve"> during the critical first four years of implementation of </w:t>
      </w:r>
      <w:r w:rsidR="007D1039">
        <w:rPr>
          <w:sz w:val="24"/>
          <w:szCs w:val="24"/>
        </w:rPr>
        <w:t>the curriculum</w:t>
      </w:r>
      <w:r w:rsidR="00061E15">
        <w:rPr>
          <w:sz w:val="24"/>
          <w:szCs w:val="24"/>
        </w:rPr>
        <w:t xml:space="preserve">. </w:t>
      </w:r>
    </w:p>
    <w:p w:rsidR="00A07DFA" w:rsidRDefault="00A07DFA">
      <w:pPr>
        <w:rPr>
          <w:sz w:val="24"/>
          <w:szCs w:val="24"/>
        </w:rPr>
      </w:pPr>
    </w:p>
    <w:p w:rsidR="00D7261D" w:rsidRDefault="00061E15">
      <w:pPr>
        <w:rPr>
          <w:sz w:val="24"/>
          <w:szCs w:val="24"/>
        </w:rPr>
      </w:pPr>
      <w:r>
        <w:rPr>
          <w:sz w:val="24"/>
          <w:szCs w:val="24"/>
        </w:rPr>
        <w:t xml:space="preserve">Specifically, we are requesting funding for the first year of </w:t>
      </w:r>
      <w:r w:rsidR="0049228F">
        <w:rPr>
          <w:sz w:val="24"/>
          <w:szCs w:val="24"/>
        </w:rPr>
        <w:t xml:space="preserve">six non-tenure-eligible positions </w:t>
      </w:r>
      <w:r>
        <w:rPr>
          <w:sz w:val="24"/>
          <w:szCs w:val="24"/>
        </w:rPr>
        <w:t>(</w:t>
      </w:r>
      <w:r w:rsidR="0049228F">
        <w:rPr>
          <w:sz w:val="24"/>
          <w:szCs w:val="24"/>
        </w:rPr>
        <w:t>support</w:t>
      </w:r>
      <w:r>
        <w:rPr>
          <w:sz w:val="24"/>
          <w:szCs w:val="24"/>
        </w:rPr>
        <w:t>ing</w:t>
      </w:r>
      <w:r w:rsidR="0049228F">
        <w:rPr>
          <w:sz w:val="24"/>
          <w:szCs w:val="24"/>
        </w:rPr>
        <w:t xml:space="preserve"> the first-</w:t>
      </w:r>
      <w:r w:rsidR="009E3CE0">
        <w:rPr>
          <w:sz w:val="24"/>
          <w:szCs w:val="24"/>
        </w:rPr>
        <w:t xml:space="preserve"> and second-</w:t>
      </w:r>
      <w:r w:rsidR="0049228F">
        <w:rPr>
          <w:sz w:val="24"/>
          <w:szCs w:val="24"/>
        </w:rPr>
        <w:t xml:space="preserve">year </w:t>
      </w:r>
      <w:r>
        <w:rPr>
          <w:sz w:val="24"/>
          <w:szCs w:val="24"/>
        </w:rPr>
        <w:t>component of the new curriculum) and of</w:t>
      </w:r>
      <w:r w:rsidR="0049228F">
        <w:rPr>
          <w:sz w:val="24"/>
          <w:szCs w:val="24"/>
        </w:rPr>
        <w:t xml:space="preserve"> one tenure-eligible position </w:t>
      </w:r>
      <w:r>
        <w:rPr>
          <w:sz w:val="24"/>
          <w:szCs w:val="24"/>
        </w:rPr>
        <w:t>(</w:t>
      </w:r>
      <w:r w:rsidR="0049228F">
        <w:rPr>
          <w:sz w:val="24"/>
          <w:szCs w:val="24"/>
        </w:rPr>
        <w:t>support</w:t>
      </w:r>
      <w:r>
        <w:rPr>
          <w:sz w:val="24"/>
          <w:szCs w:val="24"/>
        </w:rPr>
        <w:t>ing</w:t>
      </w:r>
      <w:r w:rsidR="0049228F">
        <w:rPr>
          <w:sz w:val="24"/>
          <w:szCs w:val="24"/>
        </w:rPr>
        <w:t xml:space="preserve"> the </w:t>
      </w:r>
      <w:r w:rsidR="009E3CE0">
        <w:rPr>
          <w:sz w:val="24"/>
          <w:szCs w:val="24"/>
        </w:rPr>
        <w:t>first</w:t>
      </w:r>
      <w:r w:rsidR="0049228F">
        <w:rPr>
          <w:sz w:val="24"/>
          <w:szCs w:val="24"/>
        </w:rPr>
        <w:t>-year component</w:t>
      </w:r>
      <w:r>
        <w:rPr>
          <w:sz w:val="24"/>
          <w:szCs w:val="24"/>
        </w:rPr>
        <w:t>)</w:t>
      </w:r>
      <w:r w:rsidR="00D7261D">
        <w:rPr>
          <w:sz w:val="24"/>
          <w:szCs w:val="24"/>
        </w:rPr>
        <w:t>.</w:t>
      </w:r>
      <w:r w:rsidR="0049228F">
        <w:rPr>
          <w:sz w:val="24"/>
          <w:szCs w:val="24"/>
        </w:rPr>
        <w:t xml:space="preserve"> </w:t>
      </w:r>
      <w:r w:rsidR="00D7261D">
        <w:rPr>
          <w:sz w:val="24"/>
          <w:szCs w:val="24"/>
        </w:rPr>
        <w:t xml:space="preserve">We also request </w:t>
      </w:r>
      <w:r>
        <w:rPr>
          <w:sz w:val="24"/>
          <w:szCs w:val="24"/>
        </w:rPr>
        <w:t>funding for the first two years of</w:t>
      </w:r>
      <w:r w:rsidR="007D1039">
        <w:rPr>
          <w:sz w:val="24"/>
          <w:szCs w:val="24"/>
        </w:rPr>
        <w:t xml:space="preserve"> leadership and administration </w:t>
      </w:r>
      <w:r>
        <w:rPr>
          <w:sz w:val="24"/>
          <w:szCs w:val="24"/>
        </w:rPr>
        <w:t xml:space="preserve">positions for </w:t>
      </w:r>
      <w:r w:rsidR="007D1039">
        <w:rPr>
          <w:sz w:val="24"/>
          <w:szCs w:val="24"/>
        </w:rPr>
        <w:t>two new Centers</w:t>
      </w:r>
      <w:r w:rsidR="007808FF" w:rsidRPr="006F0510">
        <w:rPr>
          <w:sz w:val="24"/>
          <w:szCs w:val="24"/>
        </w:rPr>
        <w:t xml:space="preserve"> (</w:t>
      </w:r>
      <w:r w:rsidR="00B95141" w:rsidRPr="006F0510">
        <w:rPr>
          <w:sz w:val="24"/>
          <w:szCs w:val="24"/>
        </w:rPr>
        <w:t xml:space="preserve">the Center for the Liberal Arts and the Center for </w:t>
      </w:r>
      <w:r w:rsidR="000B5216" w:rsidRPr="006F0510">
        <w:rPr>
          <w:sz w:val="24"/>
          <w:szCs w:val="24"/>
        </w:rPr>
        <w:t xml:space="preserve">Student </w:t>
      </w:r>
      <w:r w:rsidR="004D7C1D" w:rsidRPr="006F0510">
        <w:rPr>
          <w:sz w:val="24"/>
          <w:szCs w:val="24"/>
        </w:rPr>
        <w:t xml:space="preserve">Academic </w:t>
      </w:r>
      <w:r w:rsidR="00B95141" w:rsidRPr="006F0510">
        <w:rPr>
          <w:sz w:val="24"/>
          <w:szCs w:val="24"/>
        </w:rPr>
        <w:t>Success</w:t>
      </w:r>
      <w:r w:rsidR="007808FF" w:rsidRPr="006F0510">
        <w:rPr>
          <w:sz w:val="24"/>
          <w:szCs w:val="24"/>
        </w:rPr>
        <w:t>)</w:t>
      </w:r>
      <w:r>
        <w:rPr>
          <w:sz w:val="24"/>
          <w:szCs w:val="24"/>
        </w:rPr>
        <w:t>.</w:t>
      </w:r>
      <w:r w:rsidR="00850DF3">
        <w:rPr>
          <w:sz w:val="24"/>
          <w:szCs w:val="24"/>
        </w:rPr>
        <w:t xml:space="preserve"> </w:t>
      </w:r>
    </w:p>
    <w:p w:rsidR="00D7261D" w:rsidRDefault="00D7261D">
      <w:pPr>
        <w:rPr>
          <w:sz w:val="24"/>
          <w:szCs w:val="24"/>
        </w:rPr>
      </w:pPr>
    </w:p>
    <w:p w:rsidR="00A07DFA" w:rsidRDefault="00850DF3">
      <w:pPr>
        <w:rPr>
          <w:sz w:val="24"/>
          <w:szCs w:val="24"/>
        </w:rPr>
      </w:pPr>
      <w:r>
        <w:rPr>
          <w:sz w:val="24"/>
          <w:szCs w:val="24"/>
        </w:rPr>
        <w:t xml:space="preserve">In each case, after initial support provided by the Mellon Foundation William &amp; Mary will assume all costs of the positions. </w:t>
      </w:r>
      <w:r w:rsidR="00A07DFA">
        <w:rPr>
          <w:sz w:val="24"/>
          <w:szCs w:val="24"/>
        </w:rPr>
        <w:t>A table showing William &amp; Mary’s assumption of these costs is attached on page 9.</w:t>
      </w:r>
    </w:p>
    <w:p w:rsidR="00A07DFA" w:rsidRDefault="00A07DFA">
      <w:pPr>
        <w:rPr>
          <w:sz w:val="24"/>
          <w:szCs w:val="24"/>
        </w:rPr>
      </w:pPr>
    </w:p>
    <w:p w:rsidR="00C15F97" w:rsidRPr="006F0510" w:rsidRDefault="00850DF3">
      <w:pPr>
        <w:rPr>
          <w:sz w:val="24"/>
          <w:szCs w:val="24"/>
        </w:rPr>
      </w:pPr>
      <w:r>
        <w:rPr>
          <w:sz w:val="24"/>
          <w:szCs w:val="24"/>
        </w:rPr>
        <w:t xml:space="preserve">The breakdown of Mellon </w:t>
      </w:r>
      <w:r w:rsidR="00E54274">
        <w:rPr>
          <w:sz w:val="24"/>
          <w:szCs w:val="24"/>
        </w:rPr>
        <w:t xml:space="preserve">Foundation </w:t>
      </w:r>
      <w:r>
        <w:rPr>
          <w:sz w:val="24"/>
          <w:szCs w:val="24"/>
        </w:rPr>
        <w:t>funding is as follows:</w:t>
      </w:r>
    </w:p>
    <w:p w:rsidR="00C15F97" w:rsidRDefault="00C15F97">
      <w:pPr>
        <w:rPr>
          <w:sz w:val="24"/>
          <w:szCs w:val="24"/>
        </w:rPr>
      </w:pPr>
    </w:p>
    <w:p w:rsidR="00A07DFA" w:rsidRDefault="00A07DFA" w:rsidP="00A07DFA">
      <w:pPr>
        <w:rPr>
          <w:sz w:val="24"/>
          <w:szCs w:val="24"/>
        </w:rPr>
      </w:pPr>
      <w:r>
        <w:rPr>
          <w:sz w:val="24"/>
          <w:szCs w:val="24"/>
        </w:rPr>
        <w:t xml:space="preserve">6 </w:t>
      </w:r>
      <w:r w:rsidRPr="00BC52E0">
        <w:rPr>
          <w:sz w:val="24"/>
          <w:szCs w:val="24"/>
        </w:rPr>
        <w:t>Non-Tenure-Eligible</w:t>
      </w:r>
      <w:r>
        <w:rPr>
          <w:sz w:val="24"/>
          <w:szCs w:val="24"/>
        </w:rPr>
        <w:t xml:space="preserve"> Faculty </w:t>
      </w:r>
    </w:p>
    <w:p w:rsidR="00A07DFA" w:rsidRDefault="00A07DFA" w:rsidP="00A07DFA">
      <w:pPr>
        <w:rPr>
          <w:sz w:val="24"/>
          <w:szCs w:val="24"/>
        </w:rPr>
      </w:pPr>
      <w:r>
        <w:rPr>
          <w:sz w:val="24"/>
          <w:szCs w:val="24"/>
        </w:rPr>
        <w:t>1 year each at: $63,000/ year ($45,000</w:t>
      </w:r>
      <w:r w:rsidR="00D7261D">
        <w:rPr>
          <w:sz w:val="24"/>
          <w:szCs w:val="24"/>
        </w:rPr>
        <w:t xml:space="preserve"> salary</w:t>
      </w:r>
      <w:r>
        <w:rPr>
          <w:sz w:val="24"/>
          <w:szCs w:val="24"/>
        </w:rPr>
        <w:t xml:space="preserve"> + 40 percent benefits)</w:t>
      </w:r>
    </w:p>
    <w:p w:rsidR="00A07DFA" w:rsidRDefault="00A07DFA">
      <w:pPr>
        <w:rPr>
          <w:sz w:val="24"/>
          <w:szCs w:val="24"/>
        </w:rPr>
      </w:pPr>
    </w:p>
    <w:p w:rsidR="007D1039" w:rsidRDefault="0099355C" w:rsidP="00E63057">
      <w:pPr>
        <w:rPr>
          <w:sz w:val="24"/>
          <w:szCs w:val="24"/>
        </w:rPr>
      </w:pPr>
      <w:r>
        <w:rPr>
          <w:sz w:val="24"/>
          <w:szCs w:val="24"/>
        </w:rPr>
        <w:t>1</w:t>
      </w:r>
      <w:r w:rsidR="00941709">
        <w:rPr>
          <w:sz w:val="24"/>
          <w:szCs w:val="24"/>
        </w:rPr>
        <w:t xml:space="preserve"> Tenure</w:t>
      </w:r>
      <w:r w:rsidR="00941709" w:rsidRPr="00BC52E0">
        <w:rPr>
          <w:sz w:val="24"/>
          <w:szCs w:val="24"/>
        </w:rPr>
        <w:t>-</w:t>
      </w:r>
      <w:r w:rsidR="002551A3">
        <w:rPr>
          <w:sz w:val="24"/>
          <w:szCs w:val="24"/>
        </w:rPr>
        <w:t>Eligible F</w:t>
      </w:r>
      <w:r w:rsidR="00600D94">
        <w:rPr>
          <w:sz w:val="24"/>
          <w:szCs w:val="24"/>
        </w:rPr>
        <w:t>aculty</w:t>
      </w:r>
      <w:r w:rsidR="007D1039">
        <w:rPr>
          <w:sz w:val="24"/>
          <w:szCs w:val="24"/>
        </w:rPr>
        <w:t xml:space="preserve"> </w:t>
      </w:r>
    </w:p>
    <w:p w:rsidR="00600D94" w:rsidRDefault="007D1039" w:rsidP="00E63057">
      <w:pPr>
        <w:rPr>
          <w:sz w:val="24"/>
          <w:szCs w:val="24"/>
        </w:rPr>
      </w:pPr>
      <w:r>
        <w:rPr>
          <w:sz w:val="24"/>
          <w:szCs w:val="24"/>
        </w:rPr>
        <w:t xml:space="preserve">1 year </w:t>
      </w:r>
      <w:r w:rsidR="00E63057">
        <w:rPr>
          <w:sz w:val="24"/>
          <w:szCs w:val="24"/>
        </w:rPr>
        <w:t>at:</w:t>
      </w:r>
      <w:r w:rsidR="00D81C92">
        <w:rPr>
          <w:sz w:val="24"/>
          <w:szCs w:val="24"/>
        </w:rPr>
        <w:t xml:space="preserve"> </w:t>
      </w:r>
      <w:r w:rsidR="00600D94">
        <w:rPr>
          <w:sz w:val="24"/>
          <w:szCs w:val="24"/>
        </w:rPr>
        <w:t xml:space="preserve">$91,000/ year </w:t>
      </w:r>
      <w:r w:rsidR="00600D94" w:rsidRPr="00BC52E0">
        <w:rPr>
          <w:sz w:val="24"/>
          <w:szCs w:val="24"/>
        </w:rPr>
        <w:t>($65,000</w:t>
      </w:r>
      <w:r w:rsidR="00D7261D">
        <w:rPr>
          <w:sz w:val="24"/>
          <w:szCs w:val="24"/>
        </w:rPr>
        <w:t xml:space="preserve"> salary</w:t>
      </w:r>
      <w:r w:rsidR="00600D94" w:rsidRPr="00BC52E0">
        <w:rPr>
          <w:sz w:val="24"/>
          <w:szCs w:val="24"/>
        </w:rPr>
        <w:t xml:space="preserve"> +</w:t>
      </w:r>
      <w:r w:rsidR="00600D94">
        <w:rPr>
          <w:sz w:val="24"/>
          <w:szCs w:val="24"/>
        </w:rPr>
        <w:t xml:space="preserve"> 40 percent benefits)</w:t>
      </w:r>
    </w:p>
    <w:p w:rsidR="00C15F97" w:rsidRDefault="00C15F97">
      <w:pPr>
        <w:rPr>
          <w:sz w:val="24"/>
          <w:szCs w:val="24"/>
        </w:rPr>
      </w:pPr>
    </w:p>
    <w:p w:rsidR="00D81C92" w:rsidRDefault="00B95141" w:rsidP="00E63057">
      <w:pPr>
        <w:rPr>
          <w:sz w:val="24"/>
          <w:szCs w:val="24"/>
        </w:rPr>
      </w:pPr>
      <w:r>
        <w:rPr>
          <w:sz w:val="24"/>
          <w:szCs w:val="24"/>
        </w:rPr>
        <w:t xml:space="preserve">Center for </w:t>
      </w:r>
      <w:r w:rsidR="006934CE">
        <w:rPr>
          <w:sz w:val="24"/>
          <w:szCs w:val="24"/>
        </w:rPr>
        <w:t xml:space="preserve">Student </w:t>
      </w:r>
      <w:r w:rsidR="0085778D">
        <w:rPr>
          <w:sz w:val="24"/>
          <w:szCs w:val="24"/>
        </w:rPr>
        <w:t xml:space="preserve">Academic </w:t>
      </w:r>
      <w:r w:rsidR="00D81C92">
        <w:rPr>
          <w:sz w:val="24"/>
          <w:szCs w:val="24"/>
        </w:rPr>
        <w:t>Success Director,</w:t>
      </w:r>
    </w:p>
    <w:p w:rsidR="00C15F97" w:rsidRDefault="0099355C" w:rsidP="00E63057">
      <w:pPr>
        <w:rPr>
          <w:sz w:val="24"/>
          <w:szCs w:val="24"/>
        </w:rPr>
      </w:pPr>
      <w:r>
        <w:rPr>
          <w:sz w:val="24"/>
          <w:szCs w:val="24"/>
        </w:rPr>
        <w:t>2</w:t>
      </w:r>
      <w:r w:rsidR="00B95141">
        <w:rPr>
          <w:sz w:val="24"/>
          <w:szCs w:val="24"/>
        </w:rPr>
        <w:t xml:space="preserve"> years at:</w:t>
      </w:r>
      <w:r w:rsidR="00D81C92">
        <w:rPr>
          <w:sz w:val="24"/>
          <w:szCs w:val="24"/>
        </w:rPr>
        <w:t xml:space="preserve"> </w:t>
      </w:r>
      <w:r w:rsidR="00B95141">
        <w:rPr>
          <w:sz w:val="24"/>
          <w:szCs w:val="24"/>
        </w:rPr>
        <w:t>$84,000/ year ($60,000</w:t>
      </w:r>
      <w:r w:rsidR="00D7261D">
        <w:rPr>
          <w:sz w:val="24"/>
          <w:szCs w:val="24"/>
        </w:rPr>
        <w:t xml:space="preserve"> salary</w:t>
      </w:r>
      <w:r w:rsidR="00B95141">
        <w:rPr>
          <w:sz w:val="24"/>
          <w:szCs w:val="24"/>
        </w:rPr>
        <w:t xml:space="preserve"> + 40</w:t>
      </w:r>
      <w:r w:rsidR="00F17387">
        <w:rPr>
          <w:sz w:val="24"/>
          <w:szCs w:val="24"/>
        </w:rPr>
        <w:t xml:space="preserve"> percent </w:t>
      </w:r>
      <w:r w:rsidR="00B95141">
        <w:rPr>
          <w:sz w:val="24"/>
          <w:szCs w:val="24"/>
        </w:rPr>
        <w:t>benefits</w:t>
      </w:r>
      <w:r w:rsidR="00EB0367">
        <w:rPr>
          <w:sz w:val="24"/>
          <w:szCs w:val="24"/>
        </w:rPr>
        <w:t>)</w:t>
      </w:r>
    </w:p>
    <w:p w:rsidR="00C15F97" w:rsidRDefault="00C15F97">
      <w:pPr>
        <w:rPr>
          <w:sz w:val="24"/>
          <w:szCs w:val="24"/>
        </w:rPr>
      </w:pPr>
    </w:p>
    <w:p w:rsidR="00C15F97" w:rsidRDefault="009E3CE0">
      <w:pPr>
        <w:rPr>
          <w:sz w:val="24"/>
          <w:szCs w:val="24"/>
        </w:rPr>
      </w:pPr>
      <w:r>
        <w:rPr>
          <w:sz w:val="24"/>
          <w:szCs w:val="24"/>
        </w:rPr>
        <w:t xml:space="preserve">Office </w:t>
      </w:r>
      <w:r w:rsidR="00B95141">
        <w:rPr>
          <w:sz w:val="24"/>
          <w:szCs w:val="24"/>
        </w:rPr>
        <w:t>Admin</w:t>
      </w:r>
      <w:r w:rsidR="00EB0367">
        <w:rPr>
          <w:sz w:val="24"/>
          <w:szCs w:val="24"/>
        </w:rPr>
        <w:t>i</w:t>
      </w:r>
      <w:r w:rsidR="00F17387">
        <w:rPr>
          <w:sz w:val="24"/>
          <w:szCs w:val="24"/>
        </w:rPr>
        <w:t>strat</w:t>
      </w:r>
      <w:r>
        <w:rPr>
          <w:sz w:val="24"/>
          <w:szCs w:val="24"/>
        </w:rPr>
        <w:t>or</w:t>
      </w:r>
      <w:r w:rsidR="00B95141">
        <w:rPr>
          <w:sz w:val="24"/>
          <w:szCs w:val="24"/>
        </w:rPr>
        <w:t xml:space="preserve"> for </w:t>
      </w:r>
      <w:r w:rsidR="00F17387">
        <w:rPr>
          <w:sz w:val="24"/>
          <w:szCs w:val="24"/>
        </w:rPr>
        <w:t xml:space="preserve">the </w:t>
      </w:r>
      <w:r w:rsidR="00842A5C">
        <w:rPr>
          <w:sz w:val="24"/>
          <w:szCs w:val="24"/>
        </w:rPr>
        <w:t>Center for the Liberal Arts/</w:t>
      </w:r>
      <w:r w:rsidR="00B95141">
        <w:rPr>
          <w:sz w:val="24"/>
          <w:szCs w:val="24"/>
        </w:rPr>
        <w:t xml:space="preserve">Center for </w:t>
      </w:r>
      <w:r w:rsidR="006C6B46">
        <w:rPr>
          <w:sz w:val="24"/>
          <w:szCs w:val="24"/>
        </w:rPr>
        <w:t xml:space="preserve">Student </w:t>
      </w:r>
      <w:r w:rsidR="0085778D">
        <w:rPr>
          <w:sz w:val="24"/>
          <w:szCs w:val="24"/>
        </w:rPr>
        <w:t>Academic</w:t>
      </w:r>
      <w:r w:rsidR="00B95141">
        <w:rPr>
          <w:sz w:val="24"/>
          <w:szCs w:val="24"/>
        </w:rPr>
        <w:t xml:space="preserve"> Success, 2 years at:</w:t>
      </w:r>
      <w:r w:rsidR="00D81C92">
        <w:rPr>
          <w:sz w:val="24"/>
          <w:szCs w:val="24"/>
        </w:rPr>
        <w:t xml:space="preserve"> </w:t>
      </w:r>
      <w:r w:rsidR="00B95141">
        <w:rPr>
          <w:sz w:val="24"/>
          <w:szCs w:val="24"/>
        </w:rPr>
        <w:t>$4</w:t>
      </w:r>
      <w:r w:rsidR="002A7E83">
        <w:rPr>
          <w:sz w:val="24"/>
          <w:szCs w:val="24"/>
        </w:rPr>
        <w:t>2</w:t>
      </w:r>
      <w:r w:rsidR="00B95141">
        <w:rPr>
          <w:sz w:val="24"/>
          <w:szCs w:val="24"/>
        </w:rPr>
        <w:t>,000/ year ($3</w:t>
      </w:r>
      <w:r w:rsidR="002A7E83">
        <w:rPr>
          <w:sz w:val="24"/>
          <w:szCs w:val="24"/>
        </w:rPr>
        <w:t>0</w:t>
      </w:r>
      <w:r w:rsidR="00B95141">
        <w:rPr>
          <w:sz w:val="24"/>
          <w:szCs w:val="24"/>
        </w:rPr>
        <w:t>,000</w:t>
      </w:r>
      <w:r w:rsidR="00D7261D">
        <w:rPr>
          <w:sz w:val="24"/>
          <w:szCs w:val="24"/>
        </w:rPr>
        <w:t xml:space="preserve"> salary</w:t>
      </w:r>
      <w:r w:rsidR="00B95141">
        <w:rPr>
          <w:sz w:val="24"/>
          <w:szCs w:val="24"/>
        </w:rPr>
        <w:t xml:space="preserve"> + 40</w:t>
      </w:r>
      <w:r w:rsidR="00F17387">
        <w:rPr>
          <w:sz w:val="24"/>
          <w:szCs w:val="24"/>
        </w:rPr>
        <w:t xml:space="preserve"> percent </w:t>
      </w:r>
      <w:r w:rsidR="00B95141">
        <w:rPr>
          <w:sz w:val="24"/>
          <w:szCs w:val="24"/>
        </w:rPr>
        <w:t>benefits)</w:t>
      </w:r>
    </w:p>
    <w:p w:rsidR="00C15F97" w:rsidRDefault="00C15F97">
      <w:pPr>
        <w:rPr>
          <w:sz w:val="24"/>
          <w:szCs w:val="24"/>
        </w:rPr>
      </w:pPr>
    </w:p>
    <w:p w:rsidR="00600D94" w:rsidRDefault="00C9129A">
      <w:pPr>
        <w:rPr>
          <w:sz w:val="24"/>
          <w:szCs w:val="24"/>
        </w:rPr>
      </w:pPr>
      <w:r>
        <w:rPr>
          <w:sz w:val="24"/>
          <w:szCs w:val="24"/>
        </w:rPr>
        <w:t>In concert with start-up funding for faculty and staff positions, we ask the Mellon Foundation to</w:t>
      </w:r>
      <w:r w:rsidR="00FC7CB7">
        <w:rPr>
          <w:sz w:val="24"/>
          <w:szCs w:val="24"/>
        </w:rPr>
        <w:t xml:space="preserve"> provide partial</w:t>
      </w:r>
      <w:r>
        <w:rPr>
          <w:sz w:val="24"/>
          <w:szCs w:val="24"/>
        </w:rPr>
        <w:t xml:space="preserve"> </w:t>
      </w:r>
      <w:r w:rsidR="00C17461">
        <w:rPr>
          <w:sz w:val="24"/>
          <w:szCs w:val="24"/>
        </w:rPr>
        <w:t xml:space="preserve">financial </w:t>
      </w:r>
      <w:r>
        <w:rPr>
          <w:sz w:val="24"/>
          <w:szCs w:val="24"/>
        </w:rPr>
        <w:t xml:space="preserve">support </w:t>
      </w:r>
      <w:r w:rsidR="00FC7CB7">
        <w:rPr>
          <w:sz w:val="24"/>
          <w:szCs w:val="24"/>
        </w:rPr>
        <w:t xml:space="preserve">for </w:t>
      </w:r>
      <w:r>
        <w:rPr>
          <w:sz w:val="24"/>
          <w:szCs w:val="24"/>
        </w:rPr>
        <w:t xml:space="preserve">faculty development </w:t>
      </w:r>
      <w:r w:rsidR="00FC7CB7">
        <w:rPr>
          <w:sz w:val="24"/>
          <w:szCs w:val="24"/>
        </w:rPr>
        <w:t>related</w:t>
      </w:r>
      <w:r>
        <w:rPr>
          <w:sz w:val="24"/>
          <w:szCs w:val="24"/>
        </w:rPr>
        <w:t xml:space="preserve"> </w:t>
      </w:r>
      <w:r w:rsidR="00DA11A2">
        <w:rPr>
          <w:sz w:val="24"/>
          <w:szCs w:val="24"/>
        </w:rPr>
        <w:t xml:space="preserve">to </w:t>
      </w:r>
      <w:r>
        <w:rPr>
          <w:sz w:val="24"/>
          <w:szCs w:val="24"/>
        </w:rPr>
        <w:t xml:space="preserve">the new curriculum in the form </w:t>
      </w:r>
      <w:r>
        <w:rPr>
          <w:sz w:val="24"/>
          <w:szCs w:val="24"/>
        </w:rPr>
        <w:lastRenderedPageBreak/>
        <w:t xml:space="preserve">of May Seminars and Teaching Project Seminars </w:t>
      </w:r>
      <w:r w:rsidR="00B95141">
        <w:rPr>
          <w:sz w:val="24"/>
          <w:szCs w:val="24"/>
        </w:rPr>
        <w:t xml:space="preserve">to develop the curriculum for </w:t>
      </w:r>
      <w:r w:rsidR="007A4B25">
        <w:rPr>
          <w:sz w:val="24"/>
          <w:szCs w:val="24"/>
        </w:rPr>
        <w:t>College Course</w:t>
      </w:r>
      <w:r w:rsidR="00B95141">
        <w:rPr>
          <w:sz w:val="24"/>
          <w:szCs w:val="24"/>
        </w:rPr>
        <w:t xml:space="preserve">s.  </w:t>
      </w:r>
    </w:p>
    <w:p w:rsidR="00600D94" w:rsidRDefault="00600D94">
      <w:pPr>
        <w:rPr>
          <w:sz w:val="24"/>
          <w:szCs w:val="24"/>
        </w:rPr>
      </w:pPr>
    </w:p>
    <w:p w:rsidR="00600D94" w:rsidRDefault="00B95141">
      <w:pPr>
        <w:rPr>
          <w:sz w:val="24"/>
          <w:szCs w:val="24"/>
        </w:rPr>
      </w:pPr>
      <w:r>
        <w:rPr>
          <w:sz w:val="24"/>
          <w:szCs w:val="24"/>
        </w:rPr>
        <w:t>May Seminars</w:t>
      </w:r>
      <w:r w:rsidR="00BF59AB">
        <w:rPr>
          <w:sz w:val="24"/>
          <w:szCs w:val="24"/>
        </w:rPr>
        <w:t xml:space="preserve"> (post commencement)</w:t>
      </w:r>
      <w:r>
        <w:rPr>
          <w:sz w:val="24"/>
          <w:szCs w:val="24"/>
        </w:rPr>
        <w:t xml:space="preserve"> will take place in the summer before the </w:t>
      </w:r>
      <w:r w:rsidR="00955731">
        <w:rPr>
          <w:sz w:val="24"/>
          <w:szCs w:val="24"/>
        </w:rPr>
        <w:t xml:space="preserve">academic </w:t>
      </w:r>
      <w:r>
        <w:rPr>
          <w:sz w:val="24"/>
          <w:szCs w:val="24"/>
        </w:rPr>
        <w:t xml:space="preserve">year when participants will be teaching </w:t>
      </w:r>
      <w:r w:rsidR="007A4B25">
        <w:rPr>
          <w:sz w:val="24"/>
          <w:szCs w:val="24"/>
        </w:rPr>
        <w:t>College Course</w:t>
      </w:r>
      <w:r w:rsidR="00E87ED1">
        <w:rPr>
          <w:sz w:val="24"/>
          <w:szCs w:val="24"/>
        </w:rPr>
        <w:t xml:space="preserve">s for the first time. </w:t>
      </w:r>
      <w:r>
        <w:rPr>
          <w:sz w:val="24"/>
          <w:szCs w:val="24"/>
        </w:rPr>
        <w:t xml:space="preserve">The </w:t>
      </w:r>
      <w:r w:rsidR="001A6C6D">
        <w:rPr>
          <w:sz w:val="24"/>
          <w:szCs w:val="24"/>
        </w:rPr>
        <w:t xml:space="preserve">May </w:t>
      </w:r>
      <w:r>
        <w:rPr>
          <w:sz w:val="24"/>
          <w:szCs w:val="24"/>
        </w:rPr>
        <w:t xml:space="preserve">Seminars are designed to give faculty an intense period of time to develop new </w:t>
      </w:r>
      <w:r w:rsidR="007A4B25">
        <w:rPr>
          <w:sz w:val="24"/>
          <w:szCs w:val="24"/>
        </w:rPr>
        <w:t>College Course</w:t>
      </w:r>
      <w:r>
        <w:rPr>
          <w:sz w:val="24"/>
          <w:szCs w:val="24"/>
        </w:rPr>
        <w:t xml:space="preserve">s working side-by-side with other faculty in the same, or closely affiliated, academic areas who are also designing new </w:t>
      </w:r>
      <w:r w:rsidR="007A4B25">
        <w:rPr>
          <w:sz w:val="24"/>
          <w:szCs w:val="24"/>
        </w:rPr>
        <w:t>College Course</w:t>
      </w:r>
      <w:r w:rsidR="00E87ED1">
        <w:rPr>
          <w:sz w:val="24"/>
          <w:szCs w:val="24"/>
        </w:rPr>
        <w:t xml:space="preserve">s. </w:t>
      </w:r>
      <w:r>
        <w:rPr>
          <w:sz w:val="24"/>
          <w:szCs w:val="24"/>
        </w:rPr>
        <w:t xml:space="preserve">Teaching Project Seminars meet throughout the academic year and provide a framework for participants to visit each other’s classes and help each other evaluate whether their in-progress courses are meeting the objectives of the new curriculum.  </w:t>
      </w:r>
    </w:p>
    <w:p w:rsidR="00600D94" w:rsidRDefault="00600D94">
      <w:pPr>
        <w:rPr>
          <w:sz w:val="24"/>
          <w:szCs w:val="24"/>
        </w:rPr>
      </w:pPr>
    </w:p>
    <w:p w:rsidR="00C15F97" w:rsidRDefault="00B95141">
      <w:pPr>
        <w:rPr>
          <w:sz w:val="24"/>
          <w:szCs w:val="24"/>
        </w:rPr>
      </w:pPr>
      <w:r>
        <w:rPr>
          <w:sz w:val="24"/>
          <w:szCs w:val="24"/>
        </w:rPr>
        <w:t>May Seminars are best suited for the initial development of courses, and</w:t>
      </w:r>
      <w:r w:rsidR="001A6C6D">
        <w:rPr>
          <w:sz w:val="24"/>
          <w:szCs w:val="24"/>
        </w:rPr>
        <w:t>,</w:t>
      </w:r>
      <w:r>
        <w:rPr>
          <w:sz w:val="24"/>
          <w:szCs w:val="24"/>
        </w:rPr>
        <w:t xml:space="preserve"> for that reason we plan to conduct more of these </w:t>
      </w:r>
      <w:r w:rsidR="00323631">
        <w:rPr>
          <w:sz w:val="24"/>
          <w:szCs w:val="24"/>
        </w:rPr>
        <w:t xml:space="preserve">seminars </w:t>
      </w:r>
      <w:r>
        <w:rPr>
          <w:sz w:val="24"/>
          <w:szCs w:val="24"/>
        </w:rPr>
        <w:t xml:space="preserve">early in the </w:t>
      </w:r>
      <w:r w:rsidR="00323631">
        <w:rPr>
          <w:sz w:val="24"/>
          <w:szCs w:val="24"/>
        </w:rPr>
        <w:t xml:space="preserve">proposed </w:t>
      </w:r>
      <w:r>
        <w:rPr>
          <w:sz w:val="24"/>
          <w:szCs w:val="24"/>
        </w:rPr>
        <w:t>grant period; Teaching Project Seminars are ideal for sustaining a focus on general education goals after courses have already been developed.  Many faculty</w:t>
      </w:r>
      <w:r w:rsidR="00323631">
        <w:rPr>
          <w:sz w:val="24"/>
          <w:szCs w:val="24"/>
        </w:rPr>
        <w:t xml:space="preserve"> members</w:t>
      </w:r>
      <w:r>
        <w:rPr>
          <w:sz w:val="24"/>
          <w:szCs w:val="24"/>
        </w:rPr>
        <w:t>, but not all, will participate in both, sequentially.</w:t>
      </w:r>
      <w:r w:rsidR="00C9129A">
        <w:rPr>
          <w:sz w:val="24"/>
          <w:szCs w:val="24"/>
        </w:rPr>
        <w:t xml:space="preserve">  </w:t>
      </w:r>
    </w:p>
    <w:p w:rsidR="00984001" w:rsidRDefault="00984001">
      <w:pPr>
        <w:rPr>
          <w:sz w:val="24"/>
          <w:szCs w:val="24"/>
        </w:rPr>
      </w:pPr>
    </w:p>
    <w:p w:rsidR="00C9129A" w:rsidRDefault="00B95141">
      <w:pPr>
        <w:rPr>
          <w:sz w:val="24"/>
          <w:szCs w:val="24"/>
        </w:rPr>
      </w:pPr>
      <w:r>
        <w:rPr>
          <w:sz w:val="24"/>
          <w:szCs w:val="24"/>
        </w:rPr>
        <w:t xml:space="preserve">May </w:t>
      </w:r>
      <w:r w:rsidR="00560A23">
        <w:rPr>
          <w:sz w:val="24"/>
          <w:szCs w:val="24"/>
        </w:rPr>
        <w:t>S</w:t>
      </w:r>
      <w:r>
        <w:rPr>
          <w:sz w:val="24"/>
          <w:szCs w:val="24"/>
        </w:rPr>
        <w:t xml:space="preserve">eminars will average </w:t>
      </w:r>
      <w:r w:rsidRPr="00F36C8B">
        <w:rPr>
          <w:sz w:val="24"/>
          <w:szCs w:val="24"/>
        </w:rPr>
        <w:t>eight</w:t>
      </w:r>
      <w:r>
        <w:rPr>
          <w:sz w:val="24"/>
          <w:szCs w:val="24"/>
        </w:rPr>
        <w:t xml:space="preserve"> faculty</w:t>
      </w:r>
      <w:r w:rsidR="008330C5">
        <w:rPr>
          <w:sz w:val="24"/>
          <w:szCs w:val="24"/>
        </w:rPr>
        <w:t xml:space="preserve"> members</w:t>
      </w:r>
      <w:r>
        <w:rPr>
          <w:sz w:val="24"/>
          <w:szCs w:val="24"/>
        </w:rPr>
        <w:t>, and participants will each receive $500 as compen</w:t>
      </w:r>
      <w:r w:rsidR="00E87ED1">
        <w:rPr>
          <w:sz w:val="24"/>
          <w:szCs w:val="24"/>
        </w:rPr>
        <w:t xml:space="preserve">sation for a one-week seminar. </w:t>
      </w:r>
      <w:r>
        <w:rPr>
          <w:sz w:val="24"/>
          <w:szCs w:val="24"/>
        </w:rPr>
        <w:t xml:space="preserve">Teaching Project Seminars will also be made up of about </w:t>
      </w:r>
      <w:r w:rsidR="00BE29C5">
        <w:rPr>
          <w:sz w:val="24"/>
          <w:szCs w:val="24"/>
        </w:rPr>
        <w:t>eight</w:t>
      </w:r>
      <w:r>
        <w:rPr>
          <w:sz w:val="24"/>
          <w:szCs w:val="24"/>
        </w:rPr>
        <w:t xml:space="preserve"> participants, and participants will each receive $1,000 as compensation for meeting as a group at least four times </w:t>
      </w:r>
      <w:r w:rsidR="006E1B96">
        <w:rPr>
          <w:sz w:val="24"/>
          <w:szCs w:val="24"/>
        </w:rPr>
        <w:t xml:space="preserve">per </w:t>
      </w:r>
      <w:r>
        <w:rPr>
          <w:sz w:val="24"/>
          <w:szCs w:val="24"/>
        </w:rPr>
        <w:t xml:space="preserve">semester during the academic year and fulfilling other responsibilities, such as visiting each other’s classes.  </w:t>
      </w:r>
    </w:p>
    <w:p w:rsidR="00C9129A" w:rsidRDefault="00C9129A">
      <w:pPr>
        <w:rPr>
          <w:sz w:val="24"/>
          <w:szCs w:val="24"/>
        </w:rPr>
      </w:pPr>
    </w:p>
    <w:p w:rsidR="00C9129A" w:rsidRPr="00152F54" w:rsidRDefault="00C9129A">
      <w:pPr>
        <w:rPr>
          <w:color w:val="FF0000"/>
          <w:sz w:val="24"/>
          <w:szCs w:val="24"/>
        </w:rPr>
      </w:pPr>
      <w:r>
        <w:rPr>
          <w:sz w:val="24"/>
          <w:szCs w:val="24"/>
        </w:rPr>
        <w:t xml:space="preserve">William &amp; Mary will provide a portion of the financial support for the May Seminars and Teaching Project Seminars in the first four years of the grant period </w:t>
      </w:r>
      <w:r w:rsidRPr="00AC2C72">
        <w:rPr>
          <w:sz w:val="24"/>
          <w:szCs w:val="24"/>
        </w:rPr>
        <w:t>and will assume full responsibility for the seminars</w:t>
      </w:r>
      <w:r w:rsidR="00152F54" w:rsidRPr="00AC2C72">
        <w:rPr>
          <w:sz w:val="24"/>
          <w:szCs w:val="24"/>
        </w:rPr>
        <w:t>, at a reduced level,</w:t>
      </w:r>
      <w:r w:rsidRPr="00AC2C72">
        <w:rPr>
          <w:sz w:val="24"/>
          <w:szCs w:val="24"/>
        </w:rPr>
        <w:t xml:space="preserve"> in the fifth year of the proposed grant period</w:t>
      </w:r>
      <w:r w:rsidR="00152F54" w:rsidRPr="00AC2C72">
        <w:rPr>
          <w:sz w:val="24"/>
          <w:szCs w:val="24"/>
        </w:rPr>
        <w:t xml:space="preserve"> and beyond</w:t>
      </w:r>
      <w:r w:rsidRPr="00AC2C72">
        <w:rPr>
          <w:sz w:val="24"/>
          <w:szCs w:val="24"/>
        </w:rPr>
        <w:t>.</w:t>
      </w:r>
    </w:p>
    <w:p w:rsidR="00C9129A" w:rsidRDefault="00C9129A">
      <w:pPr>
        <w:rPr>
          <w:sz w:val="24"/>
          <w:szCs w:val="24"/>
        </w:rPr>
      </w:pPr>
    </w:p>
    <w:p w:rsidR="00850DF3" w:rsidRDefault="00850DF3">
      <w:pPr>
        <w:rPr>
          <w:sz w:val="24"/>
          <w:szCs w:val="24"/>
        </w:rPr>
      </w:pPr>
      <w:r>
        <w:rPr>
          <w:sz w:val="24"/>
          <w:szCs w:val="24"/>
        </w:rPr>
        <w:t>Mellon Foundation funding will support:</w:t>
      </w:r>
    </w:p>
    <w:p w:rsidR="00850DF3" w:rsidRDefault="00850DF3">
      <w:pPr>
        <w:rPr>
          <w:sz w:val="24"/>
          <w:szCs w:val="24"/>
        </w:rPr>
      </w:pPr>
    </w:p>
    <w:p w:rsidR="00FD6E33" w:rsidRDefault="00850DF3">
      <w:pPr>
        <w:rPr>
          <w:sz w:val="24"/>
          <w:szCs w:val="24"/>
        </w:rPr>
      </w:pPr>
      <w:r>
        <w:rPr>
          <w:sz w:val="24"/>
          <w:szCs w:val="24"/>
        </w:rPr>
        <w:t>15</w:t>
      </w:r>
      <w:r w:rsidR="00FD6E33">
        <w:rPr>
          <w:sz w:val="24"/>
          <w:szCs w:val="24"/>
        </w:rPr>
        <w:t xml:space="preserve"> May Seminars (8 faculty members per seminar group) at $4,000 per seminar</w:t>
      </w:r>
    </w:p>
    <w:p w:rsidR="00FD6E33" w:rsidRDefault="00FD6E33">
      <w:pPr>
        <w:rPr>
          <w:sz w:val="24"/>
          <w:szCs w:val="24"/>
        </w:rPr>
      </w:pPr>
    </w:p>
    <w:p w:rsidR="00FD6E33" w:rsidRDefault="00850DF3">
      <w:pPr>
        <w:rPr>
          <w:sz w:val="24"/>
          <w:szCs w:val="24"/>
        </w:rPr>
      </w:pPr>
      <w:r>
        <w:rPr>
          <w:sz w:val="24"/>
          <w:szCs w:val="24"/>
        </w:rPr>
        <w:t>15</w:t>
      </w:r>
      <w:r w:rsidR="00FD6E33">
        <w:rPr>
          <w:sz w:val="24"/>
          <w:szCs w:val="24"/>
        </w:rPr>
        <w:t xml:space="preserve"> Teaching Project Seminars (8 faculty members per seminar group) at $8,000 per seminar</w:t>
      </w:r>
    </w:p>
    <w:p w:rsidR="00EB3415" w:rsidRDefault="00EB3415">
      <w:pPr>
        <w:rPr>
          <w:sz w:val="24"/>
          <w:szCs w:val="24"/>
        </w:rPr>
      </w:pPr>
    </w:p>
    <w:p w:rsidR="00CF3C8C" w:rsidRDefault="00246EBF" w:rsidP="00CF3C8C">
      <w:pPr>
        <w:rPr>
          <w:sz w:val="24"/>
          <w:szCs w:val="24"/>
        </w:rPr>
      </w:pPr>
      <w:r w:rsidRPr="00E63057">
        <w:rPr>
          <w:sz w:val="24"/>
          <w:szCs w:val="24"/>
        </w:rPr>
        <w:t xml:space="preserve">The distribution of funds between the Mellon Foundation and William &amp; Mary on an annual basis is shown in the table </w:t>
      </w:r>
      <w:r w:rsidR="00CF3C8C">
        <w:rPr>
          <w:sz w:val="24"/>
          <w:szCs w:val="24"/>
        </w:rPr>
        <w:t>on page 9</w:t>
      </w:r>
      <w:r w:rsidRPr="00E63057">
        <w:rPr>
          <w:sz w:val="24"/>
          <w:szCs w:val="24"/>
        </w:rPr>
        <w:t>, including the gradual assumption of costs by the College.</w:t>
      </w:r>
      <w:r w:rsidR="00CF3C8C">
        <w:rPr>
          <w:sz w:val="24"/>
          <w:szCs w:val="24"/>
        </w:rPr>
        <w:t xml:space="preserve"> </w:t>
      </w:r>
      <w:r w:rsidR="00CF3C8C" w:rsidRPr="00733A7D">
        <w:rPr>
          <w:sz w:val="24"/>
          <w:szCs w:val="24"/>
        </w:rPr>
        <w:t>As required by the Mellon Foundation, we will post accrued intere</w:t>
      </w:r>
      <w:r w:rsidR="00CF3C8C">
        <w:rPr>
          <w:sz w:val="24"/>
          <w:szCs w:val="24"/>
        </w:rPr>
        <w:t xml:space="preserve">st-to-date back to this grant. </w:t>
      </w:r>
    </w:p>
    <w:p w:rsidR="00CF3C8C" w:rsidRDefault="00CF3C8C" w:rsidP="00CF3C8C">
      <w:pPr>
        <w:rPr>
          <w:sz w:val="24"/>
          <w:szCs w:val="24"/>
        </w:rPr>
      </w:pPr>
    </w:p>
    <w:p w:rsidR="00CF3C8C" w:rsidRPr="00CF3C8C" w:rsidRDefault="00CF3C8C" w:rsidP="00CF3C8C">
      <w:pPr>
        <w:rPr>
          <w:b/>
          <w:sz w:val="24"/>
          <w:szCs w:val="24"/>
        </w:rPr>
      </w:pPr>
      <w:r>
        <w:rPr>
          <w:b/>
          <w:sz w:val="24"/>
          <w:szCs w:val="24"/>
        </w:rPr>
        <w:t>Investment Strategy</w:t>
      </w:r>
    </w:p>
    <w:p w:rsidR="00CF3C8C" w:rsidRDefault="00CF3C8C" w:rsidP="00CF3C8C">
      <w:pPr>
        <w:rPr>
          <w:sz w:val="24"/>
          <w:szCs w:val="24"/>
        </w:rPr>
      </w:pPr>
    </w:p>
    <w:p w:rsidR="00CF3C8C" w:rsidRPr="008D1623" w:rsidRDefault="00CF3C8C" w:rsidP="00CF3C8C">
      <w:pPr>
        <w:rPr>
          <w:sz w:val="24"/>
          <w:szCs w:val="24"/>
        </w:rPr>
      </w:pPr>
      <w:r w:rsidRPr="008D1623">
        <w:rPr>
          <w:sz w:val="24"/>
          <w:szCs w:val="24"/>
        </w:rPr>
        <w:t xml:space="preserve">The College of William </w:t>
      </w:r>
      <w:r w:rsidR="00D47327">
        <w:rPr>
          <w:sz w:val="24"/>
          <w:szCs w:val="24"/>
        </w:rPr>
        <w:t>&amp;</w:t>
      </w:r>
      <w:r w:rsidRPr="008D1623">
        <w:rPr>
          <w:sz w:val="24"/>
          <w:szCs w:val="24"/>
        </w:rPr>
        <w:t xml:space="preserve"> Mary invests expendable fun</w:t>
      </w:r>
      <w:r w:rsidR="00DC6F2A">
        <w:rPr>
          <w:sz w:val="24"/>
          <w:szCs w:val="24"/>
        </w:rPr>
        <w:t>ds in accordance with the Board-</w:t>
      </w:r>
      <w:r w:rsidRPr="008D1623">
        <w:rPr>
          <w:sz w:val="24"/>
          <w:szCs w:val="24"/>
        </w:rPr>
        <w:t>adopted Cash Management and Investment Policy. The objective of this policy is to ensure safety o</w:t>
      </w:r>
      <w:r w:rsidR="00DC6F2A">
        <w:rPr>
          <w:sz w:val="24"/>
          <w:szCs w:val="24"/>
        </w:rPr>
        <w:t>f operating funds held as short-</w:t>
      </w:r>
      <w:r w:rsidRPr="008D1623">
        <w:rPr>
          <w:sz w:val="24"/>
          <w:szCs w:val="24"/>
        </w:rPr>
        <w:t xml:space="preserve">term investments and to maximize investment returns within the constraints of safety of principal and of maintaining sufficient liquidity to meet all operating needs and obligations that may be reasonably anticipated. The policy contains a list of approved and prohibited fixed income investments, as well as provisions for diversification, required ratings of the holdings, limits on duration of holdings, and limits on investments in specifically held securities of any single issuer. Income (including interest/dividends and realized gain/loss and net </w:t>
      </w:r>
      <w:r w:rsidRPr="008D1623">
        <w:rPr>
          <w:sz w:val="24"/>
          <w:szCs w:val="24"/>
        </w:rPr>
        <w:lastRenderedPageBreak/>
        <w:t>of fees) is calculated quarterly as a percentage of average value of funds held in the cash management pools, and that percentage is multiplied by the average of the month-end balances of grant funds on hand for the quarter to determine the amount of income allocable to the grant.</w:t>
      </w:r>
    </w:p>
    <w:p w:rsidR="004A1AF2" w:rsidRPr="00D7261D" w:rsidRDefault="004A1AF2">
      <w:pPr>
        <w:rPr>
          <w:sz w:val="24"/>
          <w:szCs w:val="24"/>
        </w:rPr>
      </w:pPr>
    </w:p>
    <w:p w:rsidR="00A9601B" w:rsidRDefault="00A9601B">
      <w:pPr>
        <w:rPr>
          <w:b/>
          <w:sz w:val="24"/>
          <w:szCs w:val="24"/>
        </w:rPr>
      </w:pPr>
    </w:p>
    <w:p w:rsidR="004A1AF2" w:rsidRPr="00D7261D" w:rsidRDefault="00D7261D">
      <w:pPr>
        <w:rPr>
          <w:b/>
          <w:sz w:val="24"/>
          <w:szCs w:val="24"/>
        </w:rPr>
      </w:pPr>
      <w:r>
        <w:rPr>
          <w:b/>
          <w:sz w:val="24"/>
          <w:szCs w:val="24"/>
        </w:rPr>
        <w:t>William &amp; Mary’s Assumption of Program Costs</w:t>
      </w:r>
    </w:p>
    <w:p w:rsidR="00C15F97" w:rsidRPr="00D7261D" w:rsidRDefault="00C15F97">
      <w:pPr>
        <w:rPr>
          <w:bCs/>
          <w:sz w:val="22"/>
          <w:szCs w:val="22"/>
        </w:rPr>
      </w:pPr>
    </w:p>
    <w:tbl>
      <w:tblPr>
        <w:tblW w:w="9270" w:type="dxa"/>
        <w:tblInd w:w="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990"/>
        <w:gridCol w:w="2610"/>
        <w:gridCol w:w="2610"/>
        <w:gridCol w:w="1530"/>
        <w:gridCol w:w="1530"/>
      </w:tblGrid>
      <w:tr w:rsidR="004A1AF2" w:rsidRPr="004A1AF2" w:rsidTr="00283284">
        <w:trPr>
          <w:cantSplit/>
          <w:tblHeader/>
        </w:trPr>
        <w:tc>
          <w:tcPr>
            <w:tcW w:w="990" w:type="dxa"/>
          </w:tcPr>
          <w:p w:rsidR="004A1AF2" w:rsidRPr="004A1AF2" w:rsidRDefault="004A1AF2" w:rsidP="004A1AF2">
            <w:pPr>
              <w:spacing w:before="98" w:after="49"/>
              <w:jc w:val="center"/>
            </w:pPr>
            <w:r w:rsidRPr="004A1AF2">
              <w:t>Academic Year</w:t>
            </w:r>
          </w:p>
        </w:tc>
        <w:tc>
          <w:tcPr>
            <w:tcW w:w="2610" w:type="dxa"/>
          </w:tcPr>
          <w:p w:rsidR="004A1AF2" w:rsidRPr="004A1AF2" w:rsidRDefault="004A1AF2" w:rsidP="004A1AF2">
            <w:pPr>
              <w:spacing w:before="98" w:after="49"/>
              <w:jc w:val="center"/>
            </w:pPr>
            <w:r w:rsidRPr="004A1AF2">
              <w:t>Mellon-Funded Positions</w:t>
            </w:r>
          </w:p>
        </w:tc>
        <w:tc>
          <w:tcPr>
            <w:tcW w:w="2610" w:type="dxa"/>
          </w:tcPr>
          <w:p w:rsidR="004A1AF2" w:rsidRPr="004A1AF2" w:rsidRDefault="004A1AF2" w:rsidP="004A1AF2">
            <w:pPr>
              <w:spacing w:before="98" w:after="49"/>
              <w:jc w:val="center"/>
            </w:pPr>
            <w:r w:rsidRPr="004A1AF2">
              <w:t>William &amp; Mary-Funded Positions</w:t>
            </w:r>
          </w:p>
        </w:tc>
        <w:tc>
          <w:tcPr>
            <w:tcW w:w="1530" w:type="dxa"/>
          </w:tcPr>
          <w:p w:rsidR="004A1AF2" w:rsidRPr="004A1AF2" w:rsidRDefault="004A1AF2" w:rsidP="004A1AF2">
            <w:pPr>
              <w:spacing w:before="98"/>
              <w:jc w:val="center"/>
            </w:pPr>
            <w:r w:rsidRPr="004A1AF2">
              <w:t>Mellon-Funded</w:t>
            </w:r>
          </w:p>
          <w:p w:rsidR="004A1AF2" w:rsidRPr="004A1AF2" w:rsidRDefault="004A1AF2" w:rsidP="004A1AF2">
            <w:pPr>
              <w:spacing w:after="49"/>
              <w:jc w:val="center"/>
            </w:pPr>
            <w:r w:rsidRPr="004A1AF2">
              <w:t>Faculty Development</w:t>
            </w:r>
          </w:p>
        </w:tc>
        <w:tc>
          <w:tcPr>
            <w:tcW w:w="1530" w:type="dxa"/>
          </w:tcPr>
          <w:p w:rsidR="004A1AF2" w:rsidRPr="004A1AF2" w:rsidRDefault="004A1AF2" w:rsidP="004A1AF2">
            <w:pPr>
              <w:spacing w:before="98" w:after="49"/>
              <w:jc w:val="center"/>
            </w:pPr>
            <w:r w:rsidRPr="004A1AF2">
              <w:t>William &amp; Mary-</w:t>
            </w:r>
            <w:r>
              <w:t>Funded Faculty Development</w:t>
            </w:r>
          </w:p>
        </w:tc>
      </w:tr>
      <w:tr w:rsidR="004A1AF2" w:rsidRPr="004A1AF2" w:rsidTr="00283284">
        <w:trPr>
          <w:cantSplit/>
        </w:trPr>
        <w:tc>
          <w:tcPr>
            <w:tcW w:w="990" w:type="dxa"/>
          </w:tcPr>
          <w:p w:rsidR="004A1AF2" w:rsidRPr="004A1AF2" w:rsidRDefault="004A1AF2" w:rsidP="00DC6F2A">
            <w:pPr>
              <w:spacing w:before="98" w:after="49"/>
              <w:jc w:val="center"/>
            </w:pPr>
            <w:r w:rsidRPr="004A1AF2">
              <w:t>2014</w:t>
            </w:r>
            <w:r w:rsidR="00DC6F2A">
              <w:t>–</w:t>
            </w:r>
            <w:r w:rsidRPr="004A1AF2">
              <w:t>15</w:t>
            </w:r>
          </w:p>
        </w:tc>
        <w:tc>
          <w:tcPr>
            <w:tcW w:w="2610" w:type="dxa"/>
          </w:tcPr>
          <w:p w:rsidR="004A1AF2" w:rsidRPr="004A1AF2" w:rsidRDefault="004A1AF2" w:rsidP="004A1AF2">
            <w:pPr>
              <w:spacing w:before="98"/>
            </w:pPr>
            <w:r w:rsidRPr="004A1AF2">
              <w:t>NTE-1 $63,000</w:t>
            </w:r>
          </w:p>
          <w:p w:rsidR="004A1AF2" w:rsidRPr="004A1AF2" w:rsidRDefault="004A1AF2" w:rsidP="004A1AF2">
            <w:pPr>
              <w:spacing w:after="49"/>
            </w:pPr>
            <w:r w:rsidRPr="004A1AF2">
              <w:t xml:space="preserve"> </w:t>
            </w:r>
          </w:p>
        </w:tc>
        <w:tc>
          <w:tcPr>
            <w:tcW w:w="2610" w:type="dxa"/>
          </w:tcPr>
          <w:p w:rsidR="004A1AF2" w:rsidRPr="004A1AF2" w:rsidRDefault="004A1AF2" w:rsidP="004A1AF2">
            <w:pPr>
              <w:spacing w:before="98" w:after="49"/>
            </w:pPr>
            <w:r>
              <w:t>$</w:t>
            </w:r>
            <w:r w:rsidRPr="004A1AF2">
              <w:t>0</w:t>
            </w:r>
          </w:p>
        </w:tc>
        <w:tc>
          <w:tcPr>
            <w:tcW w:w="1530" w:type="dxa"/>
          </w:tcPr>
          <w:p w:rsidR="004A1AF2" w:rsidRPr="004A1AF2" w:rsidRDefault="004A1AF2" w:rsidP="004A1AF2">
            <w:pPr>
              <w:spacing w:before="98" w:after="49"/>
            </w:pPr>
            <w:r w:rsidRPr="004A1AF2">
              <w:t>$</w:t>
            </w:r>
            <w:r>
              <w:t>60</w:t>
            </w:r>
            <w:r w:rsidRPr="004A1AF2">
              <w:t>,000</w:t>
            </w:r>
          </w:p>
        </w:tc>
        <w:tc>
          <w:tcPr>
            <w:tcW w:w="1530" w:type="dxa"/>
          </w:tcPr>
          <w:p w:rsidR="004A1AF2" w:rsidRPr="004A1AF2" w:rsidRDefault="004A1AF2" w:rsidP="00850DF3">
            <w:pPr>
              <w:spacing w:before="98" w:after="49"/>
            </w:pPr>
            <w:r w:rsidRPr="004A1AF2">
              <w:t>$1</w:t>
            </w:r>
            <w:r w:rsidR="00850DF3">
              <w:t>6</w:t>
            </w:r>
            <w:r w:rsidRPr="004A1AF2">
              <w:t>,000</w:t>
            </w:r>
          </w:p>
        </w:tc>
      </w:tr>
      <w:tr w:rsidR="004A1AF2" w:rsidRPr="004A1AF2" w:rsidTr="00283284">
        <w:trPr>
          <w:cantSplit/>
        </w:trPr>
        <w:tc>
          <w:tcPr>
            <w:tcW w:w="990" w:type="dxa"/>
          </w:tcPr>
          <w:p w:rsidR="004A1AF2" w:rsidRPr="004A1AF2" w:rsidRDefault="004A1AF2" w:rsidP="004A1AF2">
            <w:pPr>
              <w:spacing w:before="98" w:after="49"/>
              <w:jc w:val="center"/>
            </w:pPr>
            <w:r w:rsidRPr="004A1AF2">
              <w:t>2015</w:t>
            </w:r>
            <w:r w:rsidR="00DC6F2A">
              <w:t>–</w:t>
            </w:r>
            <w:r w:rsidRPr="004A1AF2">
              <w:t>16</w:t>
            </w:r>
          </w:p>
        </w:tc>
        <w:tc>
          <w:tcPr>
            <w:tcW w:w="2610" w:type="dxa"/>
          </w:tcPr>
          <w:p w:rsidR="004A1AF2" w:rsidRPr="004A1AF2" w:rsidRDefault="004A1AF2" w:rsidP="004A1AF2">
            <w:pPr>
              <w:spacing w:before="98"/>
            </w:pPr>
            <w:r w:rsidRPr="004A1AF2">
              <w:t>NTE-2 $63,000</w:t>
            </w:r>
          </w:p>
          <w:p w:rsidR="004A1AF2" w:rsidRPr="004A1AF2" w:rsidRDefault="004A1AF2" w:rsidP="004A1AF2">
            <w:r w:rsidRPr="004A1AF2">
              <w:t>NTE-3 $63,000</w:t>
            </w:r>
          </w:p>
          <w:p w:rsidR="004A1AF2" w:rsidRPr="004A1AF2" w:rsidRDefault="004A1AF2" w:rsidP="004A1AF2">
            <w:r w:rsidRPr="004A1AF2">
              <w:t>TE-1 $91,000</w:t>
            </w:r>
          </w:p>
          <w:p w:rsidR="004A1AF2" w:rsidRPr="004A1AF2" w:rsidRDefault="004A1AF2" w:rsidP="004A1AF2">
            <w:r w:rsidRPr="004A1AF2">
              <w:t>Center Director $8</w:t>
            </w:r>
            <w:r>
              <w:t>4</w:t>
            </w:r>
            <w:r w:rsidRPr="004A1AF2">
              <w:t>,000</w:t>
            </w:r>
          </w:p>
          <w:p w:rsidR="004A1AF2" w:rsidRPr="004A1AF2" w:rsidRDefault="004A1AF2" w:rsidP="004A1AF2">
            <w:pPr>
              <w:spacing w:after="49"/>
            </w:pPr>
            <w:r w:rsidRPr="004A1AF2">
              <w:t>Office Administrator $42,000</w:t>
            </w:r>
          </w:p>
        </w:tc>
        <w:tc>
          <w:tcPr>
            <w:tcW w:w="2610" w:type="dxa"/>
          </w:tcPr>
          <w:p w:rsidR="004A1AF2" w:rsidRPr="004A1AF2" w:rsidRDefault="004A1AF2" w:rsidP="004A1AF2">
            <w:pPr>
              <w:spacing w:before="98" w:after="49"/>
            </w:pPr>
            <w:r w:rsidRPr="004A1AF2">
              <w:t>NTE-1 $63,000</w:t>
            </w:r>
          </w:p>
        </w:tc>
        <w:tc>
          <w:tcPr>
            <w:tcW w:w="1530" w:type="dxa"/>
          </w:tcPr>
          <w:p w:rsidR="004A1AF2" w:rsidRPr="004A1AF2" w:rsidRDefault="004A1AF2" w:rsidP="004A1AF2">
            <w:pPr>
              <w:spacing w:before="98" w:after="49"/>
            </w:pPr>
            <w:r w:rsidRPr="004A1AF2">
              <w:t>$</w:t>
            </w:r>
            <w:r>
              <w:t>60</w:t>
            </w:r>
            <w:r w:rsidRPr="004A1AF2">
              <w:t>,000</w:t>
            </w:r>
          </w:p>
        </w:tc>
        <w:tc>
          <w:tcPr>
            <w:tcW w:w="1530" w:type="dxa"/>
          </w:tcPr>
          <w:p w:rsidR="004A1AF2" w:rsidRPr="004A1AF2" w:rsidRDefault="004A1AF2" w:rsidP="00850DF3">
            <w:pPr>
              <w:spacing w:before="98" w:after="49"/>
            </w:pPr>
            <w:r w:rsidRPr="004A1AF2">
              <w:t>$1</w:t>
            </w:r>
            <w:r w:rsidR="00850DF3">
              <w:t>6</w:t>
            </w:r>
            <w:r w:rsidRPr="004A1AF2">
              <w:t>,000</w:t>
            </w:r>
          </w:p>
        </w:tc>
      </w:tr>
      <w:tr w:rsidR="004A1AF2" w:rsidRPr="004A1AF2" w:rsidTr="00283284">
        <w:trPr>
          <w:cantSplit/>
        </w:trPr>
        <w:tc>
          <w:tcPr>
            <w:tcW w:w="990" w:type="dxa"/>
          </w:tcPr>
          <w:p w:rsidR="004A1AF2" w:rsidRPr="004A1AF2" w:rsidRDefault="004A1AF2" w:rsidP="004A1AF2">
            <w:pPr>
              <w:spacing w:before="98" w:after="49"/>
              <w:jc w:val="center"/>
            </w:pPr>
            <w:r w:rsidRPr="004A1AF2">
              <w:t>2016</w:t>
            </w:r>
            <w:r w:rsidR="00DC6F2A">
              <w:t>–</w:t>
            </w:r>
            <w:r w:rsidRPr="004A1AF2">
              <w:t>17</w:t>
            </w:r>
          </w:p>
        </w:tc>
        <w:tc>
          <w:tcPr>
            <w:tcW w:w="2610" w:type="dxa"/>
          </w:tcPr>
          <w:p w:rsidR="004A1AF2" w:rsidRPr="004A1AF2" w:rsidRDefault="004A1AF2" w:rsidP="004A1AF2">
            <w:pPr>
              <w:spacing w:before="98"/>
            </w:pPr>
            <w:r w:rsidRPr="004A1AF2">
              <w:t>NTE-4 $63,000</w:t>
            </w:r>
          </w:p>
          <w:p w:rsidR="004A1AF2" w:rsidRPr="004A1AF2" w:rsidRDefault="004A1AF2" w:rsidP="004A1AF2">
            <w:r w:rsidRPr="004A1AF2">
              <w:t>NTE-5 $63,000</w:t>
            </w:r>
          </w:p>
          <w:p w:rsidR="004A1AF2" w:rsidRPr="004A1AF2" w:rsidRDefault="004A1AF2" w:rsidP="004A1AF2">
            <w:r w:rsidRPr="004A1AF2">
              <w:t>Center Director $8</w:t>
            </w:r>
            <w:r>
              <w:t>4</w:t>
            </w:r>
            <w:r w:rsidRPr="004A1AF2">
              <w:t>,000</w:t>
            </w:r>
          </w:p>
          <w:p w:rsidR="004A1AF2" w:rsidRPr="004A1AF2" w:rsidRDefault="004A1AF2" w:rsidP="004A1AF2">
            <w:pPr>
              <w:spacing w:after="49"/>
            </w:pPr>
            <w:r w:rsidRPr="004A1AF2">
              <w:t>Office Administrator $42,000</w:t>
            </w:r>
          </w:p>
        </w:tc>
        <w:tc>
          <w:tcPr>
            <w:tcW w:w="2610" w:type="dxa"/>
          </w:tcPr>
          <w:p w:rsidR="004A1AF2" w:rsidRPr="004A1AF2" w:rsidRDefault="004A1AF2" w:rsidP="004A1AF2">
            <w:pPr>
              <w:spacing w:before="98"/>
            </w:pPr>
            <w:r w:rsidRPr="004A1AF2">
              <w:t>NTE-1 $63,000</w:t>
            </w:r>
          </w:p>
          <w:p w:rsidR="004A1AF2" w:rsidRPr="004A1AF2" w:rsidRDefault="004A1AF2" w:rsidP="004A1AF2">
            <w:r w:rsidRPr="004A1AF2">
              <w:t>NTE-2 $63,000</w:t>
            </w:r>
          </w:p>
          <w:p w:rsidR="004A1AF2" w:rsidRPr="004A1AF2" w:rsidRDefault="004A1AF2" w:rsidP="004A1AF2">
            <w:r w:rsidRPr="004A1AF2">
              <w:t>NTE-3 $63,000</w:t>
            </w:r>
          </w:p>
          <w:p w:rsidR="004A1AF2" w:rsidRPr="004A1AF2" w:rsidRDefault="004A1AF2" w:rsidP="004A1AF2">
            <w:pPr>
              <w:spacing w:after="49"/>
            </w:pPr>
            <w:r w:rsidRPr="004A1AF2">
              <w:t>TE-1 $91,000</w:t>
            </w:r>
          </w:p>
        </w:tc>
        <w:tc>
          <w:tcPr>
            <w:tcW w:w="1530" w:type="dxa"/>
          </w:tcPr>
          <w:p w:rsidR="004A1AF2" w:rsidRPr="004A1AF2" w:rsidRDefault="004A1AF2" w:rsidP="004A1AF2">
            <w:pPr>
              <w:spacing w:before="98" w:after="49"/>
            </w:pPr>
            <w:r w:rsidRPr="004A1AF2">
              <w:t>$59,000</w:t>
            </w:r>
          </w:p>
        </w:tc>
        <w:tc>
          <w:tcPr>
            <w:tcW w:w="1530" w:type="dxa"/>
          </w:tcPr>
          <w:p w:rsidR="004A1AF2" w:rsidRPr="004A1AF2" w:rsidRDefault="004A1AF2" w:rsidP="00850DF3">
            <w:pPr>
              <w:spacing w:before="98" w:after="49"/>
            </w:pPr>
            <w:r w:rsidRPr="004A1AF2">
              <w:t>$1</w:t>
            </w:r>
            <w:r w:rsidR="00850DF3">
              <w:t>7</w:t>
            </w:r>
            <w:r w:rsidRPr="004A1AF2">
              <w:t>,000</w:t>
            </w:r>
          </w:p>
        </w:tc>
      </w:tr>
      <w:tr w:rsidR="004A1AF2" w:rsidTr="00283284">
        <w:trPr>
          <w:cantSplit/>
        </w:trPr>
        <w:tc>
          <w:tcPr>
            <w:tcW w:w="990" w:type="dxa"/>
          </w:tcPr>
          <w:p w:rsidR="004A1AF2" w:rsidRPr="004A1AF2" w:rsidRDefault="004A1AF2" w:rsidP="004A1AF2">
            <w:pPr>
              <w:spacing w:before="98" w:after="49"/>
              <w:jc w:val="center"/>
            </w:pPr>
            <w:r w:rsidRPr="004A1AF2">
              <w:t>2017</w:t>
            </w:r>
            <w:r w:rsidR="00DC6F2A">
              <w:t>–</w:t>
            </w:r>
            <w:r w:rsidRPr="004A1AF2">
              <w:t>18</w:t>
            </w:r>
          </w:p>
        </w:tc>
        <w:tc>
          <w:tcPr>
            <w:tcW w:w="2610" w:type="dxa"/>
          </w:tcPr>
          <w:p w:rsidR="004A1AF2" w:rsidRDefault="004A1AF2" w:rsidP="00EC41E7">
            <w:pPr>
              <w:spacing w:before="98" w:after="49"/>
            </w:pPr>
            <w:r>
              <w:t>NTE-6 $63,000</w:t>
            </w:r>
          </w:p>
        </w:tc>
        <w:tc>
          <w:tcPr>
            <w:tcW w:w="2610" w:type="dxa"/>
          </w:tcPr>
          <w:p w:rsidR="004A1AF2" w:rsidRDefault="004A1AF2" w:rsidP="004A1AF2">
            <w:r>
              <w:t>NTE-1 $63,000</w:t>
            </w:r>
          </w:p>
          <w:p w:rsidR="004A1AF2" w:rsidRDefault="004A1AF2" w:rsidP="004A1AF2">
            <w:r>
              <w:t>NTE-2 $63,000</w:t>
            </w:r>
          </w:p>
          <w:p w:rsidR="004A1AF2" w:rsidRDefault="004A1AF2" w:rsidP="004A1AF2">
            <w:r>
              <w:t>NTE-3 $63,000</w:t>
            </w:r>
          </w:p>
          <w:p w:rsidR="004A1AF2" w:rsidRDefault="004A1AF2" w:rsidP="004A1AF2">
            <w:r>
              <w:t>NTE-4 $63,000</w:t>
            </w:r>
          </w:p>
          <w:p w:rsidR="004A1AF2" w:rsidRDefault="004A1AF2" w:rsidP="004A1AF2">
            <w:r>
              <w:t>NTE-5 $63,000</w:t>
            </w:r>
          </w:p>
          <w:p w:rsidR="004A1AF2" w:rsidRDefault="004A1AF2" w:rsidP="004A1AF2">
            <w:r>
              <w:t>TE-1 $91,000</w:t>
            </w:r>
          </w:p>
          <w:p w:rsidR="004A1AF2" w:rsidRDefault="004A1AF2" w:rsidP="004A1AF2">
            <w:r>
              <w:t>Center Director $8</w:t>
            </w:r>
            <w:r w:rsidR="002A7E83">
              <w:t>4</w:t>
            </w:r>
            <w:r>
              <w:t>,000</w:t>
            </w:r>
          </w:p>
          <w:p w:rsidR="004A1AF2" w:rsidRDefault="004A1AF2" w:rsidP="004A1AF2">
            <w:r>
              <w:t>Office Administrator $42,000</w:t>
            </w:r>
          </w:p>
        </w:tc>
        <w:tc>
          <w:tcPr>
            <w:tcW w:w="1530" w:type="dxa"/>
          </w:tcPr>
          <w:p w:rsidR="004A1AF2" w:rsidRDefault="004A1AF2" w:rsidP="00EC41E7">
            <w:pPr>
              <w:spacing w:before="98" w:after="49"/>
            </w:pPr>
            <w:r>
              <w:t>$0</w:t>
            </w:r>
          </w:p>
        </w:tc>
        <w:tc>
          <w:tcPr>
            <w:tcW w:w="1530" w:type="dxa"/>
          </w:tcPr>
          <w:p w:rsidR="004A1AF2" w:rsidRDefault="004A1AF2" w:rsidP="00850DF3">
            <w:pPr>
              <w:spacing w:before="98" w:after="49"/>
            </w:pPr>
            <w:r>
              <w:t>$1</w:t>
            </w:r>
            <w:r w:rsidR="00850DF3">
              <w:t>6</w:t>
            </w:r>
            <w:r>
              <w:t>,000</w:t>
            </w:r>
          </w:p>
        </w:tc>
      </w:tr>
      <w:tr w:rsidR="004A1AF2" w:rsidTr="00283284">
        <w:trPr>
          <w:cantSplit/>
        </w:trPr>
        <w:tc>
          <w:tcPr>
            <w:tcW w:w="990" w:type="dxa"/>
          </w:tcPr>
          <w:p w:rsidR="004A1AF2" w:rsidRPr="004A1AF2" w:rsidRDefault="004A1AF2" w:rsidP="004A1AF2">
            <w:pPr>
              <w:spacing w:before="98" w:after="49"/>
              <w:jc w:val="center"/>
            </w:pPr>
            <w:r>
              <w:t>2</w:t>
            </w:r>
            <w:r w:rsidRPr="004A1AF2">
              <w:t>018</w:t>
            </w:r>
            <w:r w:rsidR="00DC6F2A">
              <w:t>–</w:t>
            </w:r>
            <w:r w:rsidRPr="004A1AF2">
              <w:t>19</w:t>
            </w:r>
          </w:p>
        </w:tc>
        <w:tc>
          <w:tcPr>
            <w:tcW w:w="2610" w:type="dxa"/>
          </w:tcPr>
          <w:p w:rsidR="004A1AF2" w:rsidRDefault="004A1AF2" w:rsidP="00EC41E7">
            <w:pPr>
              <w:spacing w:before="98" w:after="49"/>
            </w:pPr>
            <w:r>
              <w:t>$0</w:t>
            </w:r>
          </w:p>
        </w:tc>
        <w:tc>
          <w:tcPr>
            <w:tcW w:w="2610" w:type="dxa"/>
          </w:tcPr>
          <w:p w:rsidR="004A1AF2" w:rsidRDefault="004A1AF2" w:rsidP="004A1AF2">
            <w:r>
              <w:t>NTE-1 $63,000</w:t>
            </w:r>
          </w:p>
          <w:p w:rsidR="004A1AF2" w:rsidRDefault="004A1AF2" w:rsidP="004A1AF2">
            <w:r>
              <w:t>NTE-2 $63,000</w:t>
            </w:r>
          </w:p>
          <w:p w:rsidR="004A1AF2" w:rsidRDefault="004A1AF2" w:rsidP="004A1AF2">
            <w:r>
              <w:t>NTE-3 $63,000</w:t>
            </w:r>
          </w:p>
          <w:p w:rsidR="004A1AF2" w:rsidRDefault="004A1AF2" w:rsidP="004A1AF2">
            <w:r>
              <w:t>NTE-4 $63,000</w:t>
            </w:r>
          </w:p>
          <w:p w:rsidR="004A1AF2" w:rsidRDefault="004A1AF2" w:rsidP="004A1AF2">
            <w:r>
              <w:t>NTE-5 $63,000</w:t>
            </w:r>
          </w:p>
          <w:p w:rsidR="004A1AF2" w:rsidRDefault="004A1AF2" w:rsidP="004A1AF2">
            <w:r>
              <w:t>NTE-6 $63,000</w:t>
            </w:r>
          </w:p>
          <w:p w:rsidR="004A1AF2" w:rsidRDefault="004A1AF2" w:rsidP="004A1AF2">
            <w:r>
              <w:t>TE-1 $91,000</w:t>
            </w:r>
          </w:p>
          <w:p w:rsidR="004A1AF2" w:rsidRDefault="004A1AF2" w:rsidP="004A1AF2">
            <w:r>
              <w:t>Center Director $8</w:t>
            </w:r>
            <w:r w:rsidR="002A7E83">
              <w:t>4</w:t>
            </w:r>
            <w:r>
              <w:t>,000</w:t>
            </w:r>
          </w:p>
          <w:p w:rsidR="004A1AF2" w:rsidRDefault="004A1AF2" w:rsidP="004A1AF2">
            <w:r>
              <w:t>Office Administrator $42,000</w:t>
            </w:r>
          </w:p>
        </w:tc>
        <w:tc>
          <w:tcPr>
            <w:tcW w:w="1530" w:type="dxa"/>
          </w:tcPr>
          <w:p w:rsidR="004A1AF2" w:rsidRDefault="004A1AF2" w:rsidP="00EC41E7">
            <w:pPr>
              <w:spacing w:before="98" w:after="49"/>
            </w:pPr>
            <w:r>
              <w:t>$0</w:t>
            </w:r>
          </w:p>
        </w:tc>
        <w:tc>
          <w:tcPr>
            <w:tcW w:w="1530" w:type="dxa"/>
          </w:tcPr>
          <w:p w:rsidR="004A1AF2" w:rsidRDefault="004A1AF2" w:rsidP="00850DF3">
            <w:pPr>
              <w:spacing w:before="98" w:after="49"/>
            </w:pPr>
            <w:r>
              <w:t>$1</w:t>
            </w:r>
            <w:r w:rsidR="00850DF3">
              <w:t>6</w:t>
            </w:r>
            <w:r>
              <w:t>,000</w:t>
            </w:r>
          </w:p>
        </w:tc>
      </w:tr>
      <w:tr w:rsidR="004A1AF2" w:rsidTr="00283284">
        <w:trPr>
          <w:cantSplit/>
        </w:trPr>
        <w:tc>
          <w:tcPr>
            <w:tcW w:w="990" w:type="dxa"/>
          </w:tcPr>
          <w:p w:rsidR="004A1AF2" w:rsidRPr="004A1AF2" w:rsidRDefault="004A1AF2" w:rsidP="004A1AF2">
            <w:pPr>
              <w:spacing w:before="98" w:after="49"/>
              <w:jc w:val="center"/>
            </w:pPr>
            <w:r w:rsidRPr="004A1AF2">
              <w:t>TOTALS</w:t>
            </w:r>
          </w:p>
        </w:tc>
        <w:tc>
          <w:tcPr>
            <w:tcW w:w="2610" w:type="dxa"/>
          </w:tcPr>
          <w:p w:rsidR="004A1AF2" w:rsidRDefault="004A1AF2" w:rsidP="004A1AF2">
            <w:pPr>
              <w:spacing w:before="98" w:after="49"/>
            </w:pPr>
            <w:r>
              <w:t>$721,000</w:t>
            </w:r>
          </w:p>
        </w:tc>
        <w:tc>
          <w:tcPr>
            <w:tcW w:w="2610" w:type="dxa"/>
          </w:tcPr>
          <w:p w:rsidR="004A1AF2" w:rsidRDefault="004A1AF2" w:rsidP="00F36C8B">
            <w:pPr>
              <w:spacing w:before="98" w:after="49"/>
            </w:pPr>
            <w:r>
              <w:t>$1,47</w:t>
            </w:r>
            <w:r w:rsidR="00F36C8B">
              <w:t>0</w:t>
            </w:r>
            <w:r>
              <w:t>,000</w:t>
            </w:r>
          </w:p>
        </w:tc>
        <w:tc>
          <w:tcPr>
            <w:tcW w:w="1530" w:type="dxa"/>
          </w:tcPr>
          <w:p w:rsidR="004A1AF2" w:rsidRDefault="004A1AF2" w:rsidP="004A1AF2">
            <w:pPr>
              <w:spacing w:before="98" w:after="49"/>
            </w:pPr>
            <w:r>
              <w:t>$179,000</w:t>
            </w:r>
          </w:p>
        </w:tc>
        <w:tc>
          <w:tcPr>
            <w:tcW w:w="1530" w:type="dxa"/>
          </w:tcPr>
          <w:p w:rsidR="004A1AF2" w:rsidRDefault="004A1AF2" w:rsidP="00850DF3">
            <w:pPr>
              <w:spacing w:before="98" w:after="49"/>
            </w:pPr>
            <w:r>
              <w:t>$</w:t>
            </w:r>
            <w:r w:rsidR="00850DF3">
              <w:t>81</w:t>
            </w:r>
            <w:r>
              <w:t>,000</w:t>
            </w:r>
          </w:p>
        </w:tc>
      </w:tr>
      <w:tr w:rsidR="004A1AF2" w:rsidTr="00283284">
        <w:trPr>
          <w:cantSplit/>
          <w:trHeight w:val="633"/>
        </w:trPr>
        <w:tc>
          <w:tcPr>
            <w:tcW w:w="990" w:type="dxa"/>
            <w:vAlign w:val="center"/>
          </w:tcPr>
          <w:p w:rsidR="004A1AF2" w:rsidRPr="004A1AF2" w:rsidRDefault="004A1AF2" w:rsidP="004A1AF2">
            <w:pPr>
              <w:jc w:val="center"/>
            </w:pPr>
            <w:r w:rsidRPr="004A1AF2">
              <w:t>GRAND</w:t>
            </w:r>
          </w:p>
          <w:p w:rsidR="004A1AF2" w:rsidRPr="004A1AF2" w:rsidRDefault="004A1AF2" w:rsidP="004A1AF2">
            <w:pPr>
              <w:jc w:val="center"/>
              <w:rPr>
                <w:sz w:val="16"/>
                <w:szCs w:val="16"/>
              </w:rPr>
            </w:pPr>
            <w:r w:rsidRPr="004A1AF2">
              <w:t>TOTALS</w:t>
            </w:r>
          </w:p>
        </w:tc>
        <w:tc>
          <w:tcPr>
            <w:tcW w:w="2610" w:type="dxa"/>
            <w:vAlign w:val="center"/>
          </w:tcPr>
          <w:p w:rsidR="004A1AF2" w:rsidRDefault="004A1AF2" w:rsidP="004A1AF2">
            <w:r>
              <w:t>Mellon</w:t>
            </w:r>
            <w:r w:rsidR="006256B8">
              <w:t xml:space="preserve"> Foundation</w:t>
            </w:r>
            <w:r>
              <w:t xml:space="preserve"> </w:t>
            </w:r>
            <w:r w:rsidR="006256B8">
              <w:t xml:space="preserve"> </w:t>
            </w:r>
            <w:r>
              <w:t>$900,000</w:t>
            </w:r>
          </w:p>
          <w:p w:rsidR="004A1AF2" w:rsidRDefault="004A1AF2" w:rsidP="00850DF3">
            <w:r>
              <w:t>William &amp; Mary  $1,</w:t>
            </w:r>
            <w:r w:rsidRPr="00E63057">
              <w:t>5</w:t>
            </w:r>
            <w:r w:rsidR="00F36C8B" w:rsidRPr="00E63057">
              <w:t>5</w:t>
            </w:r>
            <w:r w:rsidR="00850DF3" w:rsidRPr="00E63057">
              <w:t>1</w:t>
            </w:r>
            <w:r>
              <w:t>,000</w:t>
            </w:r>
            <w:bookmarkStart w:id="0" w:name="_GoBack"/>
            <w:bookmarkEnd w:id="0"/>
          </w:p>
        </w:tc>
        <w:tc>
          <w:tcPr>
            <w:tcW w:w="2610" w:type="dxa"/>
          </w:tcPr>
          <w:p w:rsidR="004A1AF2" w:rsidRDefault="004A1AF2" w:rsidP="00EC41E7">
            <w:pPr>
              <w:spacing w:before="98" w:after="49"/>
            </w:pPr>
          </w:p>
        </w:tc>
        <w:tc>
          <w:tcPr>
            <w:tcW w:w="1530" w:type="dxa"/>
          </w:tcPr>
          <w:p w:rsidR="004A1AF2" w:rsidRDefault="004A1AF2" w:rsidP="00EC41E7">
            <w:pPr>
              <w:spacing w:before="98" w:after="49"/>
            </w:pPr>
          </w:p>
        </w:tc>
        <w:tc>
          <w:tcPr>
            <w:tcW w:w="1530" w:type="dxa"/>
          </w:tcPr>
          <w:p w:rsidR="004A1AF2" w:rsidRDefault="004A1AF2" w:rsidP="00EC41E7">
            <w:pPr>
              <w:spacing w:before="98" w:after="49"/>
            </w:pPr>
          </w:p>
        </w:tc>
      </w:tr>
    </w:tbl>
    <w:p w:rsidR="00C15F97" w:rsidRDefault="00C15F97">
      <w:pPr>
        <w:rPr>
          <w:b/>
          <w:bCs/>
          <w:sz w:val="24"/>
          <w:szCs w:val="24"/>
        </w:rPr>
      </w:pPr>
    </w:p>
    <w:p w:rsidR="00A81CD5" w:rsidRDefault="00A81CD5" w:rsidP="00FC177E">
      <w:pPr>
        <w:rPr>
          <w:b/>
          <w:bCs/>
        </w:rPr>
      </w:pPr>
    </w:p>
    <w:p w:rsidR="00850DF3" w:rsidRPr="008D1623" w:rsidRDefault="00850DF3" w:rsidP="00FC177E">
      <w:pPr>
        <w:rPr>
          <w:b/>
          <w:bCs/>
          <w:sz w:val="24"/>
          <w:szCs w:val="24"/>
        </w:rPr>
      </w:pPr>
    </w:p>
    <w:sectPr w:rsidR="00850DF3" w:rsidRPr="008D1623" w:rsidSect="00095022">
      <w:headerReference w:type="default" r:id="rId11"/>
      <w:footerReference w:type="default" r:id="rId12"/>
      <w:pgSz w:w="12240" w:h="15840"/>
      <w:pgMar w:top="1440" w:right="1440" w:bottom="1440" w:left="1440" w:header="43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10" w:rsidRDefault="00064110" w:rsidP="004F561C">
      <w:r>
        <w:separator/>
      </w:r>
    </w:p>
  </w:endnote>
  <w:endnote w:type="continuationSeparator" w:id="0">
    <w:p w:rsidR="00064110" w:rsidRDefault="00064110" w:rsidP="004F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7D" w:rsidRDefault="00183E7D">
    <w:pPr>
      <w:pStyle w:val="Footer"/>
      <w:jc w:val="center"/>
    </w:pPr>
  </w:p>
  <w:p w:rsidR="00183E7D" w:rsidRDefault="00183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7E" w:rsidRPr="00FC177E" w:rsidRDefault="00FC177E" w:rsidP="00FC177E">
    <w:pPr>
      <w:pStyle w:val="Footer"/>
      <w:jc w:val="right"/>
      <w:rPr>
        <w:sz w:val="22"/>
        <w:szCs w:val="22"/>
      </w:rPr>
    </w:pPr>
    <w:r w:rsidRPr="00FC177E">
      <w:rPr>
        <w:sz w:val="22"/>
        <w:szCs w:val="22"/>
      </w:rPr>
      <w:t>Page 1</w:t>
    </w:r>
  </w:p>
  <w:p w:rsidR="00FC177E" w:rsidRDefault="00FC1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34907"/>
      <w:docPartObj>
        <w:docPartGallery w:val="Page Numbers (Bottom of Page)"/>
        <w:docPartUnique/>
      </w:docPartObj>
    </w:sdtPr>
    <w:sdtEndPr>
      <w:rPr>
        <w:noProof/>
        <w:sz w:val="22"/>
        <w:szCs w:val="22"/>
      </w:rPr>
    </w:sdtEndPr>
    <w:sdtContent>
      <w:p w:rsidR="00095022" w:rsidRPr="00095022" w:rsidRDefault="00095022">
        <w:pPr>
          <w:pStyle w:val="Footer"/>
          <w:jc w:val="right"/>
          <w:rPr>
            <w:sz w:val="22"/>
            <w:szCs w:val="22"/>
          </w:rPr>
        </w:pPr>
        <w:r w:rsidRPr="00095022">
          <w:rPr>
            <w:sz w:val="22"/>
            <w:szCs w:val="22"/>
          </w:rPr>
          <w:t xml:space="preserve">Page </w:t>
        </w:r>
        <w:r w:rsidRPr="00095022">
          <w:rPr>
            <w:sz w:val="22"/>
            <w:szCs w:val="22"/>
          </w:rPr>
          <w:fldChar w:fldCharType="begin"/>
        </w:r>
        <w:r w:rsidRPr="00095022">
          <w:rPr>
            <w:sz w:val="22"/>
            <w:szCs w:val="22"/>
          </w:rPr>
          <w:instrText xml:space="preserve"> PAGE   \* MERGEFORMAT </w:instrText>
        </w:r>
        <w:r w:rsidRPr="00095022">
          <w:rPr>
            <w:sz w:val="22"/>
            <w:szCs w:val="22"/>
          </w:rPr>
          <w:fldChar w:fldCharType="separate"/>
        </w:r>
        <w:r w:rsidR="006256B8">
          <w:rPr>
            <w:noProof/>
            <w:sz w:val="22"/>
            <w:szCs w:val="22"/>
          </w:rPr>
          <w:t>9</w:t>
        </w:r>
        <w:r w:rsidRPr="00095022">
          <w:rPr>
            <w:noProof/>
            <w:sz w:val="22"/>
            <w:szCs w:val="22"/>
          </w:rPr>
          <w:fldChar w:fldCharType="end"/>
        </w:r>
      </w:p>
    </w:sdtContent>
  </w:sdt>
  <w:p w:rsidR="000E4414" w:rsidRDefault="000E4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10" w:rsidRDefault="00064110" w:rsidP="004F561C">
      <w:r>
        <w:separator/>
      </w:r>
    </w:p>
  </w:footnote>
  <w:footnote w:type="continuationSeparator" w:id="0">
    <w:p w:rsidR="00064110" w:rsidRDefault="00064110" w:rsidP="004F5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14" w:rsidRPr="00967CEE" w:rsidRDefault="000E4414" w:rsidP="000E4414">
    <w:pPr>
      <w:jc w:val="center"/>
      <w:rPr>
        <w:b/>
        <w:sz w:val="25"/>
        <w:szCs w:val="25"/>
        <w:lang w:val="en-CA"/>
      </w:rPr>
    </w:pPr>
  </w:p>
  <w:p w:rsidR="000E4414" w:rsidRDefault="000E4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FF"/>
    <w:rsid w:val="00002020"/>
    <w:rsid w:val="00010AE9"/>
    <w:rsid w:val="00012147"/>
    <w:rsid w:val="000266C0"/>
    <w:rsid w:val="00030688"/>
    <w:rsid w:val="00032AE0"/>
    <w:rsid w:val="00034CE7"/>
    <w:rsid w:val="00057AF9"/>
    <w:rsid w:val="00061E15"/>
    <w:rsid w:val="00064110"/>
    <w:rsid w:val="00071C57"/>
    <w:rsid w:val="00095022"/>
    <w:rsid w:val="00096241"/>
    <w:rsid w:val="000A199E"/>
    <w:rsid w:val="000A1BBA"/>
    <w:rsid w:val="000A26BA"/>
    <w:rsid w:val="000B1580"/>
    <w:rsid w:val="000B41E7"/>
    <w:rsid w:val="000B5216"/>
    <w:rsid w:val="000B6EC6"/>
    <w:rsid w:val="000D6AEF"/>
    <w:rsid w:val="000D6BFB"/>
    <w:rsid w:val="000E32BB"/>
    <w:rsid w:val="000E4414"/>
    <w:rsid w:val="000F33D6"/>
    <w:rsid w:val="000F768A"/>
    <w:rsid w:val="00111D85"/>
    <w:rsid w:val="00120FAB"/>
    <w:rsid w:val="00124547"/>
    <w:rsid w:val="00133762"/>
    <w:rsid w:val="00141F1C"/>
    <w:rsid w:val="00142F0C"/>
    <w:rsid w:val="001432E3"/>
    <w:rsid w:val="00144155"/>
    <w:rsid w:val="001522BF"/>
    <w:rsid w:val="00152F54"/>
    <w:rsid w:val="00162014"/>
    <w:rsid w:val="00163A8C"/>
    <w:rsid w:val="001641A7"/>
    <w:rsid w:val="00176202"/>
    <w:rsid w:val="00183E7D"/>
    <w:rsid w:val="001A238B"/>
    <w:rsid w:val="001A63AC"/>
    <w:rsid w:val="001A6C6D"/>
    <w:rsid w:val="001B25B0"/>
    <w:rsid w:val="001B3EA8"/>
    <w:rsid w:val="001C2991"/>
    <w:rsid w:val="001C7820"/>
    <w:rsid w:val="001D6B8A"/>
    <w:rsid w:val="001E4F63"/>
    <w:rsid w:val="001F5F92"/>
    <w:rsid w:val="002047A7"/>
    <w:rsid w:val="002121D5"/>
    <w:rsid w:val="002212ED"/>
    <w:rsid w:val="00242117"/>
    <w:rsid w:val="00246EBF"/>
    <w:rsid w:val="002551A3"/>
    <w:rsid w:val="00261B1D"/>
    <w:rsid w:val="002635D7"/>
    <w:rsid w:val="002661F3"/>
    <w:rsid w:val="00267B8F"/>
    <w:rsid w:val="00273921"/>
    <w:rsid w:val="00280843"/>
    <w:rsid w:val="00283284"/>
    <w:rsid w:val="0028549B"/>
    <w:rsid w:val="00296963"/>
    <w:rsid w:val="002A7E83"/>
    <w:rsid w:val="002B57AE"/>
    <w:rsid w:val="002C29F8"/>
    <w:rsid w:val="002D735E"/>
    <w:rsid w:val="002D77DB"/>
    <w:rsid w:val="00303084"/>
    <w:rsid w:val="00303610"/>
    <w:rsid w:val="003102FD"/>
    <w:rsid w:val="00323631"/>
    <w:rsid w:val="0032449C"/>
    <w:rsid w:val="00334FAA"/>
    <w:rsid w:val="00345501"/>
    <w:rsid w:val="0035719C"/>
    <w:rsid w:val="00361805"/>
    <w:rsid w:val="00362182"/>
    <w:rsid w:val="003723FC"/>
    <w:rsid w:val="00387334"/>
    <w:rsid w:val="00390DD9"/>
    <w:rsid w:val="003A7279"/>
    <w:rsid w:val="003B5D8C"/>
    <w:rsid w:val="003D3F93"/>
    <w:rsid w:val="003D777A"/>
    <w:rsid w:val="003E5F07"/>
    <w:rsid w:val="003F454B"/>
    <w:rsid w:val="00412A75"/>
    <w:rsid w:val="004251ED"/>
    <w:rsid w:val="004369DF"/>
    <w:rsid w:val="00443A02"/>
    <w:rsid w:val="00452957"/>
    <w:rsid w:val="004704C6"/>
    <w:rsid w:val="00480DAD"/>
    <w:rsid w:val="00484E4E"/>
    <w:rsid w:val="0049228F"/>
    <w:rsid w:val="00494084"/>
    <w:rsid w:val="004A1AF2"/>
    <w:rsid w:val="004B4EAD"/>
    <w:rsid w:val="004C511B"/>
    <w:rsid w:val="004C621E"/>
    <w:rsid w:val="004D0001"/>
    <w:rsid w:val="004D3AA8"/>
    <w:rsid w:val="004D5245"/>
    <w:rsid w:val="004D7C1D"/>
    <w:rsid w:val="004F561C"/>
    <w:rsid w:val="005018F9"/>
    <w:rsid w:val="00514C8B"/>
    <w:rsid w:val="0051774C"/>
    <w:rsid w:val="00517985"/>
    <w:rsid w:val="00524738"/>
    <w:rsid w:val="005344E5"/>
    <w:rsid w:val="00535037"/>
    <w:rsid w:val="00547EE5"/>
    <w:rsid w:val="00550FD3"/>
    <w:rsid w:val="00560A23"/>
    <w:rsid w:val="00583A52"/>
    <w:rsid w:val="00584492"/>
    <w:rsid w:val="005849D3"/>
    <w:rsid w:val="005853E5"/>
    <w:rsid w:val="005A2896"/>
    <w:rsid w:val="005A6798"/>
    <w:rsid w:val="005A7E5C"/>
    <w:rsid w:val="005B3045"/>
    <w:rsid w:val="005C3D14"/>
    <w:rsid w:val="005C3FDD"/>
    <w:rsid w:val="005F5BF1"/>
    <w:rsid w:val="00600D94"/>
    <w:rsid w:val="006114BB"/>
    <w:rsid w:val="006132BB"/>
    <w:rsid w:val="00624BF2"/>
    <w:rsid w:val="006256B8"/>
    <w:rsid w:val="00635626"/>
    <w:rsid w:val="00642053"/>
    <w:rsid w:val="00646FC5"/>
    <w:rsid w:val="006526B0"/>
    <w:rsid w:val="00655F06"/>
    <w:rsid w:val="00674A85"/>
    <w:rsid w:val="006879E4"/>
    <w:rsid w:val="00687EF1"/>
    <w:rsid w:val="006932EB"/>
    <w:rsid w:val="006934CE"/>
    <w:rsid w:val="00693B63"/>
    <w:rsid w:val="006C1355"/>
    <w:rsid w:val="006C6B46"/>
    <w:rsid w:val="006C78A0"/>
    <w:rsid w:val="006E1B96"/>
    <w:rsid w:val="006E4390"/>
    <w:rsid w:val="006F0510"/>
    <w:rsid w:val="006F1AB2"/>
    <w:rsid w:val="006F2E9E"/>
    <w:rsid w:val="006F452F"/>
    <w:rsid w:val="00712BAF"/>
    <w:rsid w:val="00732F6A"/>
    <w:rsid w:val="00733A7D"/>
    <w:rsid w:val="00741281"/>
    <w:rsid w:val="007526FD"/>
    <w:rsid w:val="00752AD9"/>
    <w:rsid w:val="00755F24"/>
    <w:rsid w:val="007569A0"/>
    <w:rsid w:val="00766DC4"/>
    <w:rsid w:val="00767D5D"/>
    <w:rsid w:val="007808FF"/>
    <w:rsid w:val="0078638A"/>
    <w:rsid w:val="00795CBA"/>
    <w:rsid w:val="007A3EE7"/>
    <w:rsid w:val="007A4B25"/>
    <w:rsid w:val="007C0D6B"/>
    <w:rsid w:val="007C380A"/>
    <w:rsid w:val="007C4F54"/>
    <w:rsid w:val="007D0B4B"/>
    <w:rsid w:val="007D1039"/>
    <w:rsid w:val="007D73EF"/>
    <w:rsid w:val="007E37E4"/>
    <w:rsid w:val="007E6587"/>
    <w:rsid w:val="007F3379"/>
    <w:rsid w:val="00801695"/>
    <w:rsid w:val="00805245"/>
    <w:rsid w:val="00823984"/>
    <w:rsid w:val="00823FEF"/>
    <w:rsid w:val="0082760E"/>
    <w:rsid w:val="008330C5"/>
    <w:rsid w:val="008415F1"/>
    <w:rsid w:val="00842A5C"/>
    <w:rsid w:val="008442A9"/>
    <w:rsid w:val="00850DF3"/>
    <w:rsid w:val="0085778D"/>
    <w:rsid w:val="00864EDE"/>
    <w:rsid w:val="00870002"/>
    <w:rsid w:val="0087684B"/>
    <w:rsid w:val="00890B97"/>
    <w:rsid w:val="00895E58"/>
    <w:rsid w:val="00896668"/>
    <w:rsid w:val="008A1117"/>
    <w:rsid w:val="008B3EE6"/>
    <w:rsid w:val="008B544C"/>
    <w:rsid w:val="008B7170"/>
    <w:rsid w:val="008C7383"/>
    <w:rsid w:val="008D1623"/>
    <w:rsid w:val="008E73E2"/>
    <w:rsid w:val="008F4583"/>
    <w:rsid w:val="008F6132"/>
    <w:rsid w:val="0090129F"/>
    <w:rsid w:val="00915ECC"/>
    <w:rsid w:val="00934D1F"/>
    <w:rsid w:val="00936FEA"/>
    <w:rsid w:val="0094168E"/>
    <w:rsid w:val="00941709"/>
    <w:rsid w:val="0094486A"/>
    <w:rsid w:val="00954246"/>
    <w:rsid w:val="00955731"/>
    <w:rsid w:val="00965FE5"/>
    <w:rsid w:val="00967CEE"/>
    <w:rsid w:val="0097413A"/>
    <w:rsid w:val="00984001"/>
    <w:rsid w:val="0099355C"/>
    <w:rsid w:val="00995FFA"/>
    <w:rsid w:val="009A0AAF"/>
    <w:rsid w:val="009A11C1"/>
    <w:rsid w:val="009A6526"/>
    <w:rsid w:val="009A7DF2"/>
    <w:rsid w:val="009B75D9"/>
    <w:rsid w:val="009C1F57"/>
    <w:rsid w:val="009E3CE0"/>
    <w:rsid w:val="00A07DFA"/>
    <w:rsid w:val="00A13B56"/>
    <w:rsid w:val="00A315A4"/>
    <w:rsid w:val="00A329EF"/>
    <w:rsid w:val="00A503C3"/>
    <w:rsid w:val="00A65D97"/>
    <w:rsid w:val="00A7223C"/>
    <w:rsid w:val="00A81CD5"/>
    <w:rsid w:val="00A86641"/>
    <w:rsid w:val="00A90318"/>
    <w:rsid w:val="00A90424"/>
    <w:rsid w:val="00A9189B"/>
    <w:rsid w:val="00A923A2"/>
    <w:rsid w:val="00A939D4"/>
    <w:rsid w:val="00A93E62"/>
    <w:rsid w:val="00A94813"/>
    <w:rsid w:val="00A94F76"/>
    <w:rsid w:val="00A95B17"/>
    <w:rsid w:val="00A9601B"/>
    <w:rsid w:val="00AA3710"/>
    <w:rsid w:val="00AB7A4A"/>
    <w:rsid w:val="00AC2C72"/>
    <w:rsid w:val="00AD1BB9"/>
    <w:rsid w:val="00AD261C"/>
    <w:rsid w:val="00AD517E"/>
    <w:rsid w:val="00AD6353"/>
    <w:rsid w:val="00AD7CFD"/>
    <w:rsid w:val="00AE4A4B"/>
    <w:rsid w:val="00B02B86"/>
    <w:rsid w:val="00B03E00"/>
    <w:rsid w:val="00B208BE"/>
    <w:rsid w:val="00B254DD"/>
    <w:rsid w:val="00B32A11"/>
    <w:rsid w:val="00B5268B"/>
    <w:rsid w:val="00B55A1F"/>
    <w:rsid w:val="00B56F1E"/>
    <w:rsid w:val="00B658E6"/>
    <w:rsid w:val="00B744D4"/>
    <w:rsid w:val="00B83EFD"/>
    <w:rsid w:val="00B95141"/>
    <w:rsid w:val="00BB1AA0"/>
    <w:rsid w:val="00BB33CB"/>
    <w:rsid w:val="00BC0CB3"/>
    <w:rsid w:val="00BC52E0"/>
    <w:rsid w:val="00BD6073"/>
    <w:rsid w:val="00BD77E5"/>
    <w:rsid w:val="00BE29C5"/>
    <w:rsid w:val="00BF03B4"/>
    <w:rsid w:val="00BF232C"/>
    <w:rsid w:val="00BF59AB"/>
    <w:rsid w:val="00BF75D3"/>
    <w:rsid w:val="00C01EAC"/>
    <w:rsid w:val="00C04240"/>
    <w:rsid w:val="00C05BE7"/>
    <w:rsid w:val="00C15F97"/>
    <w:rsid w:val="00C15FB0"/>
    <w:rsid w:val="00C17461"/>
    <w:rsid w:val="00C37FBA"/>
    <w:rsid w:val="00C50D52"/>
    <w:rsid w:val="00C617C9"/>
    <w:rsid w:val="00C71069"/>
    <w:rsid w:val="00C7428A"/>
    <w:rsid w:val="00C74ECB"/>
    <w:rsid w:val="00C80934"/>
    <w:rsid w:val="00C80D75"/>
    <w:rsid w:val="00C81E8B"/>
    <w:rsid w:val="00C86CD3"/>
    <w:rsid w:val="00C9129A"/>
    <w:rsid w:val="00C9773D"/>
    <w:rsid w:val="00CA4ACB"/>
    <w:rsid w:val="00CB726B"/>
    <w:rsid w:val="00CD1453"/>
    <w:rsid w:val="00CD5318"/>
    <w:rsid w:val="00CE19B5"/>
    <w:rsid w:val="00CE4BC2"/>
    <w:rsid w:val="00CF3C8C"/>
    <w:rsid w:val="00D0687B"/>
    <w:rsid w:val="00D06FD6"/>
    <w:rsid w:val="00D176D5"/>
    <w:rsid w:val="00D23C9F"/>
    <w:rsid w:val="00D310CB"/>
    <w:rsid w:val="00D32107"/>
    <w:rsid w:val="00D47327"/>
    <w:rsid w:val="00D521CC"/>
    <w:rsid w:val="00D55BEF"/>
    <w:rsid w:val="00D565B6"/>
    <w:rsid w:val="00D7261D"/>
    <w:rsid w:val="00D80154"/>
    <w:rsid w:val="00D81C92"/>
    <w:rsid w:val="00D921C3"/>
    <w:rsid w:val="00D944A3"/>
    <w:rsid w:val="00D96DEF"/>
    <w:rsid w:val="00DA11A2"/>
    <w:rsid w:val="00DA78AC"/>
    <w:rsid w:val="00DB01FD"/>
    <w:rsid w:val="00DC6C15"/>
    <w:rsid w:val="00DC6F2A"/>
    <w:rsid w:val="00DD7062"/>
    <w:rsid w:val="00E20B65"/>
    <w:rsid w:val="00E23774"/>
    <w:rsid w:val="00E24C2F"/>
    <w:rsid w:val="00E46C06"/>
    <w:rsid w:val="00E53069"/>
    <w:rsid w:val="00E54274"/>
    <w:rsid w:val="00E562E6"/>
    <w:rsid w:val="00E57474"/>
    <w:rsid w:val="00E63057"/>
    <w:rsid w:val="00E63730"/>
    <w:rsid w:val="00E75988"/>
    <w:rsid w:val="00E80E35"/>
    <w:rsid w:val="00E87ED1"/>
    <w:rsid w:val="00E93D65"/>
    <w:rsid w:val="00EA17EE"/>
    <w:rsid w:val="00EA6B30"/>
    <w:rsid w:val="00EB0367"/>
    <w:rsid w:val="00EB3415"/>
    <w:rsid w:val="00ED51CB"/>
    <w:rsid w:val="00ED6102"/>
    <w:rsid w:val="00EE725A"/>
    <w:rsid w:val="00EF26C2"/>
    <w:rsid w:val="00EF7323"/>
    <w:rsid w:val="00F0321F"/>
    <w:rsid w:val="00F16800"/>
    <w:rsid w:val="00F17387"/>
    <w:rsid w:val="00F24DBF"/>
    <w:rsid w:val="00F36C8B"/>
    <w:rsid w:val="00F44780"/>
    <w:rsid w:val="00F81492"/>
    <w:rsid w:val="00F94AC7"/>
    <w:rsid w:val="00FB500C"/>
    <w:rsid w:val="00FB711E"/>
    <w:rsid w:val="00FC177E"/>
    <w:rsid w:val="00FC7CB7"/>
    <w:rsid w:val="00FD0586"/>
    <w:rsid w:val="00FD6E33"/>
    <w:rsid w:val="00FE326A"/>
    <w:rsid w:val="00FF0E1C"/>
    <w:rsid w:val="00FF3645"/>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6B30"/>
    <w:rPr>
      <w:sz w:val="16"/>
      <w:szCs w:val="16"/>
    </w:rPr>
  </w:style>
  <w:style w:type="paragraph" w:styleId="CommentText">
    <w:name w:val="annotation text"/>
    <w:basedOn w:val="Normal"/>
    <w:link w:val="CommentTextChar"/>
    <w:uiPriority w:val="99"/>
    <w:semiHidden/>
    <w:unhideWhenUsed/>
    <w:rsid w:val="00EA6B30"/>
  </w:style>
  <w:style w:type="character" w:customStyle="1" w:styleId="CommentTextChar">
    <w:name w:val="Comment Text Char"/>
    <w:basedOn w:val="DefaultParagraphFont"/>
    <w:link w:val="CommentText"/>
    <w:uiPriority w:val="99"/>
    <w:semiHidden/>
    <w:rsid w:val="00EA6B3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6B30"/>
    <w:rPr>
      <w:b/>
      <w:bCs/>
    </w:rPr>
  </w:style>
  <w:style w:type="character" w:customStyle="1" w:styleId="CommentSubjectChar">
    <w:name w:val="Comment Subject Char"/>
    <w:basedOn w:val="CommentTextChar"/>
    <w:link w:val="CommentSubject"/>
    <w:uiPriority w:val="99"/>
    <w:semiHidden/>
    <w:rsid w:val="00EA6B3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A6B30"/>
    <w:rPr>
      <w:rFonts w:ascii="Tahoma" w:hAnsi="Tahoma" w:cs="Tahoma"/>
      <w:sz w:val="16"/>
      <w:szCs w:val="16"/>
    </w:rPr>
  </w:style>
  <w:style w:type="character" w:customStyle="1" w:styleId="BalloonTextChar">
    <w:name w:val="Balloon Text Char"/>
    <w:basedOn w:val="DefaultParagraphFont"/>
    <w:link w:val="BalloonText"/>
    <w:uiPriority w:val="99"/>
    <w:semiHidden/>
    <w:rsid w:val="00EA6B30"/>
    <w:rPr>
      <w:rFonts w:ascii="Tahoma" w:hAnsi="Tahoma" w:cs="Tahoma"/>
      <w:sz w:val="16"/>
      <w:szCs w:val="16"/>
    </w:rPr>
  </w:style>
  <w:style w:type="paragraph" w:styleId="Header">
    <w:name w:val="header"/>
    <w:basedOn w:val="Normal"/>
    <w:link w:val="HeaderChar"/>
    <w:uiPriority w:val="99"/>
    <w:unhideWhenUsed/>
    <w:rsid w:val="004F561C"/>
    <w:pPr>
      <w:tabs>
        <w:tab w:val="center" w:pos="4680"/>
        <w:tab w:val="right" w:pos="9360"/>
      </w:tabs>
    </w:pPr>
  </w:style>
  <w:style w:type="character" w:customStyle="1" w:styleId="HeaderChar">
    <w:name w:val="Header Char"/>
    <w:basedOn w:val="DefaultParagraphFont"/>
    <w:link w:val="Header"/>
    <w:uiPriority w:val="99"/>
    <w:rsid w:val="004F561C"/>
    <w:rPr>
      <w:rFonts w:ascii="Times New Roman" w:hAnsi="Times New Roman" w:cs="Times New Roman"/>
      <w:sz w:val="20"/>
      <w:szCs w:val="20"/>
    </w:rPr>
  </w:style>
  <w:style w:type="paragraph" w:styleId="Footer">
    <w:name w:val="footer"/>
    <w:basedOn w:val="Normal"/>
    <w:link w:val="FooterChar"/>
    <w:uiPriority w:val="99"/>
    <w:unhideWhenUsed/>
    <w:rsid w:val="004F561C"/>
    <w:pPr>
      <w:tabs>
        <w:tab w:val="center" w:pos="4680"/>
        <w:tab w:val="right" w:pos="9360"/>
      </w:tabs>
    </w:pPr>
  </w:style>
  <w:style w:type="character" w:customStyle="1" w:styleId="FooterChar">
    <w:name w:val="Footer Char"/>
    <w:basedOn w:val="DefaultParagraphFont"/>
    <w:link w:val="Footer"/>
    <w:uiPriority w:val="99"/>
    <w:rsid w:val="004F561C"/>
    <w:rPr>
      <w:rFonts w:ascii="Times New Roman" w:hAnsi="Times New Roman" w:cs="Times New Roman"/>
      <w:sz w:val="20"/>
      <w:szCs w:val="20"/>
    </w:rPr>
  </w:style>
  <w:style w:type="table" w:styleId="TableGrid">
    <w:name w:val="Table Grid"/>
    <w:basedOn w:val="TableNormal"/>
    <w:uiPriority w:val="59"/>
    <w:rsid w:val="006F4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24738"/>
    <w:rPr>
      <w:strike w:val="0"/>
      <w:dstrike w:val="0"/>
      <w:color w:val="0066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6B30"/>
    <w:rPr>
      <w:sz w:val="16"/>
      <w:szCs w:val="16"/>
    </w:rPr>
  </w:style>
  <w:style w:type="paragraph" w:styleId="CommentText">
    <w:name w:val="annotation text"/>
    <w:basedOn w:val="Normal"/>
    <w:link w:val="CommentTextChar"/>
    <w:uiPriority w:val="99"/>
    <w:semiHidden/>
    <w:unhideWhenUsed/>
    <w:rsid w:val="00EA6B30"/>
  </w:style>
  <w:style w:type="character" w:customStyle="1" w:styleId="CommentTextChar">
    <w:name w:val="Comment Text Char"/>
    <w:basedOn w:val="DefaultParagraphFont"/>
    <w:link w:val="CommentText"/>
    <w:uiPriority w:val="99"/>
    <w:semiHidden/>
    <w:rsid w:val="00EA6B3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6B30"/>
    <w:rPr>
      <w:b/>
      <w:bCs/>
    </w:rPr>
  </w:style>
  <w:style w:type="character" w:customStyle="1" w:styleId="CommentSubjectChar">
    <w:name w:val="Comment Subject Char"/>
    <w:basedOn w:val="CommentTextChar"/>
    <w:link w:val="CommentSubject"/>
    <w:uiPriority w:val="99"/>
    <w:semiHidden/>
    <w:rsid w:val="00EA6B3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A6B30"/>
    <w:rPr>
      <w:rFonts w:ascii="Tahoma" w:hAnsi="Tahoma" w:cs="Tahoma"/>
      <w:sz w:val="16"/>
      <w:szCs w:val="16"/>
    </w:rPr>
  </w:style>
  <w:style w:type="character" w:customStyle="1" w:styleId="BalloonTextChar">
    <w:name w:val="Balloon Text Char"/>
    <w:basedOn w:val="DefaultParagraphFont"/>
    <w:link w:val="BalloonText"/>
    <w:uiPriority w:val="99"/>
    <w:semiHidden/>
    <w:rsid w:val="00EA6B30"/>
    <w:rPr>
      <w:rFonts w:ascii="Tahoma" w:hAnsi="Tahoma" w:cs="Tahoma"/>
      <w:sz w:val="16"/>
      <w:szCs w:val="16"/>
    </w:rPr>
  </w:style>
  <w:style w:type="paragraph" w:styleId="Header">
    <w:name w:val="header"/>
    <w:basedOn w:val="Normal"/>
    <w:link w:val="HeaderChar"/>
    <w:uiPriority w:val="99"/>
    <w:unhideWhenUsed/>
    <w:rsid w:val="004F561C"/>
    <w:pPr>
      <w:tabs>
        <w:tab w:val="center" w:pos="4680"/>
        <w:tab w:val="right" w:pos="9360"/>
      </w:tabs>
    </w:pPr>
  </w:style>
  <w:style w:type="character" w:customStyle="1" w:styleId="HeaderChar">
    <w:name w:val="Header Char"/>
    <w:basedOn w:val="DefaultParagraphFont"/>
    <w:link w:val="Header"/>
    <w:uiPriority w:val="99"/>
    <w:rsid w:val="004F561C"/>
    <w:rPr>
      <w:rFonts w:ascii="Times New Roman" w:hAnsi="Times New Roman" w:cs="Times New Roman"/>
      <w:sz w:val="20"/>
      <w:szCs w:val="20"/>
    </w:rPr>
  </w:style>
  <w:style w:type="paragraph" w:styleId="Footer">
    <w:name w:val="footer"/>
    <w:basedOn w:val="Normal"/>
    <w:link w:val="FooterChar"/>
    <w:uiPriority w:val="99"/>
    <w:unhideWhenUsed/>
    <w:rsid w:val="004F561C"/>
    <w:pPr>
      <w:tabs>
        <w:tab w:val="center" w:pos="4680"/>
        <w:tab w:val="right" w:pos="9360"/>
      </w:tabs>
    </w:pPr>
  </w:style>
  <w:style w:type="character" w:customStyle="1" w:styleId="FooterChar">
    <w:name w:val="Footer Char"/>
    <w:basedOn w:val="DefaultParagraphFont"/>
    <w:link w:val="Footer"/>
    <w:uiPriority w:val="99"/>
    <w:rsid w:val="004F561C"/>
    <w:rPr>
      <w:rFonts w:ascii="Times New Roman" w:hAnsi="Times New Roman" w:cs="Times New Roman"/>
      <w:sz w:val="20"/>
      <w:szCs w:val="20"/>
    </w:rPr>
  </w:style>
  <w:style w:type="table" w:styleId="TableGrid">
    <w:name w:val="Table Grid"/>
    <w:basedOn w:val="TableNormal"/>
    <w:uiPriority w:val="59"/>
    <w:rsid w:val="006F4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24738"/>
    <w:rPr>
      <w:strike w:val="0"/>
      <w:dstrike w:val="0"/>
      <w:color w:val="0066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89809">
      <w:bodyDiv w:val="1"/>
      <w:marLeft w:val="0"/>
      <w:marRight w:val="0"/>
      <w:marTop w:val="0"/>
      <w:marBottom w:val="0"/>
      <w:divBdr>
        <w:top w:val="none" w:sz="0" w:space="0" w:color="auto"/>
        <w:left w:val="none" w:sz="0" w:space="0" w:color="auto"/>
        <w:bottom w:val="none" w:sz="0" w:space="0" w:color="auto"/>
        <w:right w:val="none" w:sz="0" w:space="0" w:color="auto"/>
      </w:divBdr>
    </w:div>
    <w:div w:id="901646292">
      <w:bodyDiv w:val="1"/>
      <w:marLeft w:val="0"/>
      <w:marRight w:val="0"/>
      <w:marTop w:val="0"/>
      <w:marBottom w:val="0"/>
      <w:divBdr>
        <w:top w:val="none" w:sz="0" w:space="0" w:color="auto"/>
        <w:left w:val="none" w:sz="0" w:space="0" w:color="auto"/>
        <w:bottom w:val="none" w:sz="0" w:space="0" w:color="auto"/>
        <w:right w:val="none" w:sz="0" w:space="0" w:color="auto"/>
      </w:divBdr>
    </w:div>
    <w:div w:id="11842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jtorc@wm.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D3EB-5CC3-45BA-A5FC-CE227BB9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4126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12</cp:revision>
  <cp:lastPrinted>2014-03-26T20:10:00Z</cp:lastPrinted>
  <dcterms:created xsi:type="dcterms:W3CDTF">2014-03-27T12:51:00Z</dcterms:created>
  <dcterms:modified xsi:type="dcterms:W3CDTF">2014-03-27T13:18:00Z</dcterms:modified>
</cp:coreProperties>
</file>